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D2" w:rsidRDefault="00642ED2" w:rsidP="00642ED2">
      <w:pPr>
        <w:rPr>
          <w:rFonts w:ascii="Century Gothic" w:hAnsi="Century Gothic" w:cs="Arial"/>
          <w:b/>
          <w:color w:val="FF0000"/>
          <w:sz w:val="28"/>
          <w:szCs w:val="28"/>
          <w:lang w:val="es-MX"/>
        </w:rPr>
      </w:pPr>
    </w:p>
    <w:p w:rsidR="00642ED2" w:rsidRPr="00B96E63" w:rsidRDefault="00642ED2" w:rsidP="00642ED2">
      <w:pPr>
        <w:jc w:val="center"/>
        <w:rPr>
          <w:rFonts w:ascii="Century Gothic" w:hAnsi="Century Gothic" w:cs="Arial"/>
          <w:b/>
          <w:color w:val="FF0000"/>
          <w:sz w:val="28"/>
          <w:szCs w:val="28"/>
          <w:lang w:val="es-MX"/>
        </w:rPr>
      </w:pPr>
      <w:r w:rsidRPr="00183E74">
        <w:rPr>
          <w:rFonts w:ascii="Century Gothic" w:hAnsi="Century Gothic" w:cs="Arial"/>
          <w:b/>
          <w:color w:val="FF0000"/>
          <w:sz w:val="28"/>
          <w:szCs w:val="28"/>
          <w:lang w:val="es-MX"/>
        </w:rPr>
        <w:t xml:space="preserve">NOTA: </w:t>
      </w:r>
      <w:r>
        <w:rPr>
          <w:rFonts w:ascii="Century Gothic" w:hAnsi="Century Gothic" w:cs="Arial"/>
          <w:b/>
          <w:color w:val="FF0000"/>
          <w:sz w:val="28"/>
          <w:szCs w:val="28"/>
          <w:lang w:val="es-MX"/>
        </w:rPr>
        <w:t xml:space="preserve">AMIGO COMUNAL SI SU ORGANISMO COMUNAL HA SIDO BENEFICIARIO DE PROYECTOS AMBIENTALES CON EL INSTITUTO DEPARTAMENTAL DE ACCIÓN COMUNAL DE </w:t>
      </w:r>
      <w:r w:rsidR="00F76342">
        <w:rPr>
          <w:rFonts w:ascii="Century Gothic" w:hAnsi="Century Gothic" w:cs="Arial"/>
          <w:b/>
          <w:color w:val="FF0000"/>
          <w:sz w:val="28"/>
          <w:szCs w:val="28"/>
          <w:lang w:val="es-MX"/>
        </w:rPr>
        <w:t xml:space="preserve">CUNDINAMARCA EN LOS AÑOS 2016, </w:t>
      </w:r>
      <w:r>
        <w:rPr>
          <w:rFonts w:ascii="Century Gothic" w:hAnsi="Century Gothic" w:cs="Arial"/>
          <w:b/>
          <w:color w:val="FF0000"/>
          <w:sz w:val="28"/>
          <w:szCs w:val="28"/>
          <w:lang w:val="es-MX"/>
        </w:rPr>
        <w:t>2017</w:t>
      </w:r>
      <w:r w:rsidR="00F76342">
        <w:rPr>
          <w:rFonts w:ascii="Century Gothic" w:hAnsi="Century Gothic" w:cs="Arial"/>
          <w:b/>
          <w:color w:val="FF0000"/>
          <w:sz w:val="28"/>
          <w:szCs w:val="28"/>
          <w:lang w:val="es-MX"/>
        </w:rPr>
        <w:t xml:space="preserve"> Y 2018</w:t>
      </w:r>
      <w:r>
        <w:rPr>
          <w:rFonts w:ascii="Century Gothic" w:hAnsi="Century Gothic" w:cs="Arial"/>
          <w:b/>
          <w:color w:val="FF0000"/>
          <w:sz w:val="28"/>
          <w:szCs w:val="28"/>
          <w:lang w:val="es-MX"/>
        </w:rPr>
        <w:t xml:space="preserve"> NO PODRÁ PARTICIPAR DE LA PRESENTE CONVOCATORIA.</w:t>
      </w:r>
    </w:p>
    <w:p w:rsidR="00642ED2" w:rsidRPr="00F42398" w:rsidRDefault="00642ED2" w:rsidP="00642ED2">
      <w:pPr>
        <w:pStyle w:val="Prrafodelista"/>
        <w:ind w:left="360"/>
        <w:jc w:val="center"/>
        <w:rPr>
          <w:rFonts w:ascii="Century Gothic" w:hAnsi="Century Gothic" w:cs="Arial"/>
          <w:b/>
          <w:sz w:val="22"/>
          <w:szCs w:val="22"/>
        </w:rPr>
      </w:pPr>
    </w:p>
    <w:p w:rsidR="00642ED2" w:rsidRPr="00E851CA" w:rsidRDefault="00642ED2" w:rsidP="00642ED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E851CA">
        <w:rPr>
          <w:rFonts w:ascii="Century Gothic" w:hAnsi="Century Gothic" w:cs="Arial"/>
          <w:b/>
          <w:sz w:val="22"/>
          <w:szCs w:val="22"/>
          <w:lang w:val="es-MX"/>
        </w:rPr>
        <w:t>INSTITUTO DEPARTAMENTAL DE ACCION COMUNAL DEL DEPARTAMENTO DE CUNDINAMARCA</w:t>
      </w:r>
    </w:p>
    <w:p w:rsidR="00642ED2" w:rsidRPr="00E851CA" w:rsidRDefault="00642ED2" w:rsidP="00642ED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  <w:r w:rsidRPr="00E851CA">
        <w:rPr>
          <w:rFonts w:ascii="Century Gothic" w:hAnsi="Century Gothic" w:cs="Arial"/>
          <w:b/>
          <w:sz w:val="22"/>
          <w:szCs w:val="22"/>
          <w:lang w:val="es-MX"/>
        </w:rPr>
        <w:t>PLAN DE DESARROLLO “UNIDOS PODEMOS MAS”</w:t>
      </w:r>
    </w:p>
    <w:p w:rsidR="00642ED2" w:rsidRPr="00E851CA" w:rsidRDefault="00642ED2" w:rsidP="00642ED2">
      <w:pPr>
        <w:jc w:val="center"/>
        <w:rPr>
          <w:rFonts w:ascii="Century Gothic" w:hAnsi="Century Gothic" w:cs="Arial"/>
          <w:b/>
          <w:sz w:val="22"/>
          <w:szCs w:val="22"/>
          <w:lang w:val="es-MX"/>
        </w:rPr>
      </w:pPr>
    </w:p>
    <w:p w:rsidR="00642ED2" w:rsidRPr="00E851CA" w:rsidRDefault="00642ED2" w:rsidP="00642ED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851CA">
        <w:rPr>
          <w:rFonts w:ascii="Century Gothic" w:hAnsi="Century Gothic" w:cs="Arial"/>
          <w:sz w:val="22"/>
          <w:szCs w:val="22"/>
          <w:lang w:val="es-MX"/>
        </w:rPr>
        <w:t>EJE: INTEGRACIÓN Y GOBERNANZA.</w:t>
      </w:r>
    </w:p>
    <w:p w:rsidR="00642ED2" w:rsidRPr="00E851CA" w:rsidRDefault="00642ED2" w:rsidP="00642ED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851CA">
        <w:rPr>
          <w:rFonts w:ascii="Century Gothic" w:hAnsi="Century Gothic" w:cs="Arial"/>
          <w:sz w:val="22"/>
          <w:szCs w:val="22"/>
          <w:lang w:val="es-MX"/>
        </w:rPr>
        <w:t>PROGRAMA: REDES DE LA PARTICIPACION CIUDADANA PARA LA GESTION LOCAL.</w:t>
      </w:r>
    </w:p>
    <w:p w:rsidR="00642ED2" w:rsidRPr="00E851CA" w:rsidRDefault="00642ED2" w:rsidP="00642ED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  <w:r w:rsidRPr="00E851CA">
        <w:rPr>
          <w:rFonts w:ascii="Century Gothic" w:hAnsi="Century Gothic" w:cs="Arial"/>
          <w:sz w:val="22"/>
          <w:szCs w:val="22"/>
          <w:lang w:val="es-MX"/>
        </w:rPr>
        <w:t>SUB PROGRAMA: ORGANISMOS DE PARTICIPACION COMUNITARIA.</w:t>
      </w:r>
    </w:p>
    <w:p w:rsidR="00642ED2" w:rsidRPr="00E851CA" w:rsidRDefault="00642ED2" w:rsidP="00642ED2">
      <w:pPr>
        <w:jc w:val="center"/>
        <w:rPr>
          <w:rFonts w:ascii="Century Gothic" w:hAnsi="Century Gothic" w:cs="Arial"/>
          <w:sz w:val="22"/>
          <w:szCs w:val="22"/>
          <w:lang w:val="es-MX"/>
        </w:rPr>
      </w:pPr>
    </w:p>
    <w:p w:rsidR="00642ED2" w:rsidRDefault="00642ED2" w:rsidP="00642ED2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lang w:val="es-MX"/>
        </w:rPr>
      </w:pPr>
      <w:r w:rsidRPr="00E851CA">
        <w:rPr>
          <w:rFonts w:ascii="Century Gothic" w:hAnsi="Century Gothic" w:cs="Arial"/>
          <w:sz w:val="22"/>
          <w:szCs w:val="22"/>
          <w:lang w:val="es-MX"/>
        </w:rPr>
        <w:t xml:space="preserve"> </w:t>
      </w:r>
      <w:r w:rsidRPr="00E851CA">
        <w:rPr>
          <w:rFonts w:ascii="Century Gothic" w:hAnsi="Century Gothic" w:cstheme="minorHAnsi"/>
          <w:b/>
          <w:sz w:val="22"/>
          <w:szCs w:val="22"/>
          <w:lang w:val="es-MX"/>
        </w:rPr>
        <w:t>PROYECTO DE RECUPERACIÓN  DE ESPACIOS RECREATIVOS COMUNITARIOS MEDIANTE LA IMPLEMENTACIÓN  DE PROCESOS PARTICIPATIVOS AMBIENTALES PARA LAS ORGANIZACIONES COMUNALES DE CUNDINAMARCA.</w:t>
      </w:r>
    </w:p>
    <w:p w:rsidR="00642ED2" w:rsidRDefault="00642ED2" w:rsidP="00642ED2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lang w:val="es-MX"/>
        </w:rPr>
      </w:pPr>
    </w:p>
    <w:p w:rsidR="00642ED2" w:rsidRPr="00E851CA" w:rsidRDefault="00642ED2" w:rsidP="00642ED2">
      <w:pPr>
        <w:pStyle w:val="Default"/>
        <w:jc w:val="center"/>
        <w:rPr>
          <w:rFonts w:ascii="Century Gothic" w:hAnsi="Century Gothic" w:cstheme="minorHAnsi"/>
          <w:b/>
          <w:sz w:val="22"/>
          <w:szCs w:val="22"/>
          <w:lang w:val="es-MX"/>
        </w:rPr>
      </w:pPr>
      <w:r w:rsidRPr="00E851CA">
        <w:rPr>
          <w:rFonts w:ascii="Century Gothic" w:hAnsi="Century Gothic" w:cstheme="minorHAnsi"/>
          <w:b/>
          <w:sz w:val="22"/>
          <w:szCs w:val="22"/>
          <w:lang w:val="es-MX"/>
        </w:rPr>
        <w:t>“</w:t>
      </w:r>
      <w:r w:rsidR="00F76342" w:rsidRPr="00E851CA">
        <w:rPr>
          <w:rFonts w:ascii="Century Gothic" w:hAnsi="Century Gothic" w:cstheme="minorHAnsi"/>
          <w:b/>
          <w:sz w:val="22"/>
          <w:szCs w:val="22"/>
          <w:lang w:val="es-MX"/>
        </w:rPr>
        <w:t xml:space="preserve">ECOPARQUE COMUNAL </w:t>
      </w:r>
      <w:r w:rsidRPr="00E851CA">
        <w:rPr>
          <w:rFonts w:ascii="Century Gothic" w:hAnsi="Century Gothic" w:cstheme="minorHAnsi"/>
          <w:b/>
          <w:sz w:val="22"/>
          <w:szCs w:val="22"/>
          <w:lang w:val="es-MX"/>
        </w:rPr>
        <w:t>contribuye al embellecimiento, arborización e instalación de herramientas pedagógicas infantiles ela</w:t>
      </w:r>
      <w:r w:rsidR="003501FB">
        <w:rPr>
          <w:rFonts w:ascii="Century Gothic" w:hAnsi="Century Gothic" w:cstheme="minorHAnsi"/>
          <w:b/>
          <w:sz w:val="22"/>
          <w:szCs w:val="22"/>
          <w:lang w:val="es-MX"/>
        </w:rPr>
        <w:t>boradas con material</w:t>
      </w:r>
      <w:r w:rsidR="003501FB" w:rsidRPr="00F76342">
        <w:rPr>
          <w:rFonts w:ascii="Century Gothic" w:hAnsi="Century Gothic" w:cstheme="minorHAnsi"/>
          <w:b/>
          <w:color w:val="auto"/>
          <w:sz w:val="22"/>
          <w:szCs w:val="22"/>
          <w:lang w:val="es-MX"/>
        </w:rPr>
        <w:t xml:space="preserve"> recuperado</w:t>
      </w:r>
      <w:r w:rsidRPr="00E851CA">
        <w:rPr>
          <w:rFonts w:ascii="Century Gothic" w:hAnsi="Century Gothic" w:cstheme="minorHAnsi"/>
          <w:b/>
          <w:sz w:val="22"/>
          <w:szCs w:val="22"/>
          <w:lang w:val="es-MX"/>
        </w:rPr>
        <w:t>”.</w:t>
      </w:r>
    </w:p>
    <w:p w:rsidR="00642ED2" w:rsidRDefault="00642ED2" w:rsidP="00642ED2">
      <w:pPr>
        <w:rPr>
          <w:rFonts w:ascii="Arial" w:hAnsi="Arial" w:cs="Arial"/>
          <w:sz w:val="24"/>
          <w:szCs w:val="24"/>
          <w:lang w:val="es-CO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b/>
          <w:lang w:val="es-MX"/>
        </w:rPr>
      </w:pPr>
      <w:r w:rsidRPr="00E851CA">
        <w:rPr>
          <w:rFonts w:ascii="Century Gothic" w:hAnsi="Century Gothic" w:cs="Arial"/>
          <w:b/>
          <w:lang w:val="es-MX"/>
        </w:rPr>
        <w:t>ANTECEDENTES: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b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lang w:val="es-MX"/>
        </w:rPr>
        <w:t>Que mediante Ordenanza No 006-2016, se adopta el Plan de Desarrollo Departamental 2016-2020 “Unidos Podemos Más”, que tiene como objetivo articular las diferentes perspectivas de los actores del desarrollo económico, social y ambiental del territorio a nivel urbano y rural, con una estructura ecológica sustentable que soporte y viabilice el ordenamiento del territorio para aprovechar la vocación productiva del mismo, territorios ordenados y seguros, con una visión de largo plazo en educación, recurso hídrico y compatibilidad con el clima, un tejido social fuerte, reconociendo a la familia como soporte del mismo, a la mujer con su rol protagónico en la promoción de emprendimiento sociales innovadores, un reconocimiento diferenciado de las diferentes poblaciones y minorías para promover la multiculturalidad enfocando sus intereses y expectativas en torno a necesidades básicas existenciales, impulsando crecimiento verde, economía creativa para la competitividad sostenible, dando pasos agigantados en la integración y gobernanza como una manera de apropiar el territorio, empoderar su gente y tomar decisiones que nos lleven a trabajar por el mismo lado, contando con los diferentes instrumentos de gestión para su eficaz implementación en la elaboración y uso, generando oportunidades, creando riqueza colectiva con el fin de pasar del reino de la necesidad al reino de la libertad y la felicidad y enfocarse en la medición de seis activos de la región: capital humano, natural, institucional, cultural, de conocimiento y de infraestructura.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lang w:val="es-MX"/>
        </w:rPr>
        <w:lastRenderedPageBreak/>
        <w:t xml:space="preserve">Que en el Capítulo V Integración y Gobernanza del Plan de Desarrollo “Unidos Podemos Más”  que tiene como objetivo elevar la capacidad de respuesta de las personas, comunidades e instituciones ante los desafíos del entorno para la toma de decisiones de calidad involucrando la participación del gobierno  departamental, las otras entidades gubernamentales, la sociedad y sus grupos organizados y la empresa en un proceso abierto, transparente e incluyente, se encuentra el programa </w:t>
      </w:r>
      <w:r w:rsidRPr="00E851CA">
        <w:rPr>
          <w:rFonts w:ascii="Century Gothic" w:hAnsi="Century Gothic" w:cs="Arial"/>
          <w:b/>
          <w:lang w:val="es-MX"/>
        </w:rPr>
        <w:t>REDES DE LA PARTICIPACIÓN CIUDADANA PARA LA GESTIÓN LOCAL</w:t>
      </w:r>
      <w:r w:rsidRPr="00E851CA">
        <w:rPr>
          <w:rFonts w:ascii="Century Gothic" w:hAnsi="Century Gothic" w:cs="Arial"/>
          <w:lang w:val="es-MX"/>
        </w:rPr>
        <w:t xml:space="preserve">, que busca promover, proteger y garantizar modalidades del derecho a participar en la vida política, administrativa, económica, social y cultural, atender los requerimientos de las organizaciones de acción comunal mediante la coordinación de la oferta institucional a nivel territorial y nacional que permitan fortalecer la estructura y funcionamiento de los organismos de Acción comunal de manera que obtengan reconocimiento y mayor visibilidad en la sociedad, además promover la participación ciudadana, el fortalecimiento de la democracia participativa, la organización y participación de los miembros y los líderes y lideresas regionales de organizaciones sociales y comunales, residentes en viviendas acogidos al régimen de Propiedad Horizontal; grupos poblacionales: Niños, Niñas, adolescentes y jóvenes, mujeres, personas con discapacidad, campesinos, víctimas, LGBTI, indígenas, afrocolombianos, raizales, </w:t>
      </w:r>
      <w:proofErr w:type="spellStart"/>
      <w:r w:rsidRPr="00E851CA">
        <w:rPr>
          <w:rFonts w:ascii="Century Gothic" w:hAnsi="Century Gothic" w:cs="Arial"/>
          <w:lang w:val="es-MX"/>
        </w:rPr>
        <w:t>palenqueros</w:t>
      </w:r>
      <w:proofErr w:type="spellEnd"/>
      <w:r w:rsidRPr="00E851CA">
        <w:rPr>
          <w:rFonts w:ascii="Century Gothic" w:hAnsi="Century Gothic" w:cs="Arial"/>
          <w:lang w:val="es-MX"/>
        </w:rPr>
        <w:t xml:space="preserve">, ROM y Organizaciones Sociales Basadas en la Fe, comprometidas en construir y promocionar la participación ciudadana, así como una cultura de paz estable y duradera. 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lang w:val="es-MX"/>
        </w:rPr>
        <w:t xml:space="preserve">Que en el Artículo 57C Sub programa </w:t>
      </w:r>
      <w:r w:rsidRPr="00E851CA">
        <w:rPr>
          <w:rFonts w:ascii="Century Gothic" w:hAnsi="Century Gothic" w:cs="Arial"/>
          <w:b/>
          <w:lang w:val="es-MX"/>
        </w:rPr>
        <w:t>ORGANISMOS DE PARTICIPACIÓN COMUNITARIA</w:t>
      </w:r>
      <w:r w:rsidRPr="00E851CA">
        <w:rPr>
          <w:rFonts w:ascii="Century Gothic" w:hAnsi="Century Gothic" w:cs="Arial"/>
          <w:lang w:val="es-MX"/>
        </w:rPr>
        <w:t>, donde se determina potencializar las organizaciones comunales de los municipios de Cundinamarca, con generación de oportunidades, herramientas y capacidades de gestión para que ejerzan efectivamente su derecho a la asociación y a la participación y tiene como meta adelantar noventa (90) proyectos dirigidos a la preservación del entorno ambiental con organismos comunales del departamento de Cundinamarca.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lang w:val="es-MX"/>
        </w:rPr>
        <w:t xml:space="preserve"> </w:t>
      </w:r>
    </w:p>
    <w:p w:rsidR="003411B0" w:rsidRPr="00B87FDE" w:rsidRDefault="00F76342" w:rsidP="003411B0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Que para la vigencia 2019</w:t>
      </w:r>
      <w:r w:rsidR="003411B0" w:rsidRPr="00B87FDE">
        <w:rPr>
          <w:rFonts w:ascii="Century Gothic" w:hAnsi="Century Gothic" w:cs="Arial"/>
        </w:rPr>
        <w:t xml:space="preserve"> el Instituto Departamental de Acción Comunal de Cundinamarca, en aras de fortalecer los organismos comunales en el ámbito ambiental, diseña la Convoca</w:t>
      </w:r>
      <w:r>
        <w:rPr>
          <w:rFonts w:ascii="Century Gothic" w:hAnsi="Century Gothic" w:cs="Arial"/>
        </w:rPr>
        <w:t xml:space="preserve">toria “ECOPARQUE COMUNAL” </w:t>
      </w:r>
      <w:r w:rsidR="00086C7C" w:rsidRPr="004F1D7B">
        <w:rPr>
          <w:rFonts w:ascii="Century Gothic" w:hAnsi="Century Gothic" w:cs="Arial"/>
        </w:rPr>
        <w:t>No</w:t>
      </w:r>
      <w:r w:rsidR="004F1D7B">
        <w:rPr>
          <w:rFonts w:ascii="Century Gothic" w:hAnsi="Century Gothic" w:cs="Arial"/>
        </w:rPr>
        <w:t>.</w:t>
      </w:r>
      <w:r w:rsidR="00086C7C" w:rsidRPr="004F1D7B">
        <w:rPr>
          <w:rFonts w:ascii="Century Gothic" w:hAnsi="Century Gothic" w:cs="Arial"/>
        </w:rPr>
        <w:t xml:space="preserve"> 00</w:t>
      </w:r>
      <w:r w:rsidR="004F1D7B" w:rsidRPr="004F1D7B">
        <w:rPr>
          <w:rFonts w:ascii="Century Gothic" w:hAnsi="Century Gothic" w:cs="Arial"/>
        </w:rPr>
        <w:t>8</w:t>
      </w:r>
      <w:r w:rsidRPr="004F1D7B">
        <w:rPr>
          <w:rFonts w:ascii="Century Gothic" w:hAnsi="Century Gothic" w:cs="Arial"/>
        </w:rPr>
        <w:t>-2019</w:t>
      </w:r>
      <w:r w:rsidR="003411B0" w:rsidRPr="004F1D7B">
        <w:rPr>
          <w:rFonts w:ascii="Century Gothic" w:hAnsi="Century Gothic" w:cs="Arial"/>
        </w:rPr>
        <w:t>, bajo</w:t>
      </w:r>
      <w:r w:rsidR="003411B0" w:rsidRPr="00B87FDE">
        <w:rPr>
          <w:rFonts w:ascii="Century Gothic" w:hAnsi="Century Gothic" w:cs="Arial"/>
        </w:rPr>
        <w:t xml:space="preserve"> la estrategia de recuperación y embellecimiento de los espacios recreativos comunitarios donde predominan los valores paisajís</w:t>
      </w:r>
      <w:r>
        <w:rPr>
          <w:rFonts w:ascii="Century Gothic" w:hAnsi="Century Gothic" w:cs="Arial"/>
        </w:rPr>
        <w:t>ticos con material recuperado</w:t>
      </w:r>
      <w:r w:rsidR="003411B0" w:rsidRPr="00B87FDE">
        <w:rPr>
          <w:rFonts w:ascii="Century Gothic" w:hAnsi="Century Gothic" w:cs="Arial"/>
        </w:rPr>
        <w:t>, mejorando los escenarios con un alto potencial recreativo y de contacto con la naturaleza, a través de la entrega de parques de madera plástica.</w:t>
      </w:r>
    </w:p>
    <w:p w:rsidR="003411B0" w:rsidRPr="00B87FDE" w:rsidRDefault="003411B0" w:rsidP="003411B0">
      <w:pPr>
        <w:jc w:val="both"/>
        <w:rPr>
          <w:rFonts w:ascii="Century Gothic" w:hAnsi="Century Gothic" w:cs="Arial"/>
        </w:rPr>
      </w:pPr>
    </w:p>
    <w:p w:rsidR="00642ED2" w:rsidRDefault="003411B0" w:rsidP="003411B0">
      <w:pPr>
        <w:jc w:val="both"/>
        <w:rPr>
          <w:rFonts w:ascii="Century Gothic" w:hAnsi="Century Gothic" w:cs="Arial"/>
          <w:lang w:val="es-MX"/>
        </w:rPr>
      </w:pPr>
      <w:r>
        <w:rPr>
          <w:rFonts w:ascii="Century Gothic" w:hAnsi="Century Gothic" w:cs="Arial"/>
        </w:rPr>
        <w:t>Que d</w:t>
      </w:r>
      <w:r w:rsidRPr="00B87FDE">
        <w:rPr>
          <w:rFonts w:ascii="Century Gothic" w:hAnsi="Century Gothic" w:cs="Arial"/>
        </w:rPr>
        <w:t>icho lo anterior, se requiere llegar a los organismos comunales d</w:t>
      </w:r>
      <w:r>
        <w:rPr>
          <w:rFonts w:ascii="Century Gothic" w:hAnsi="Century Gothic" w:cs="Arial"/>
        </w:rPr>
        <w:t>el Departamento, fortaleciéndolo</w:t>
      </w:r>
      <w:r w:rsidRPr="00B87FDE">
        <w:rPr>
          <w:rFonts w:ascii="Century Gothic" w:hAnsi="Century Gothic" w:cs="Arial"/>
        </w:rPr>
        <w:t xml:space="preserve">s </w:t>
      </w:r>
      <w:r>
        <w:rPr>
          <w:rFonts w:ascii="Century Gothic" w:hAnsi="Century Gothic" w:cs="Arial"/>
        </w:rPr>
        <w:t>a través de  espacios recreativos y amigables con el medio ambiente,</w:t>
      </w:r>
      <w:r w:rsidRPr="00B87FDE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los cuales </w:t>
      </w:r>
      <w:r w:rsidRPr="00B87FDE">
        <w:rPr>
          <w:rFonts w:ascii="Century Gothic" w:hAnsi="Century Gothic" w:cs="Arial"/>
        </w:rPr>
        <w:t xml:space="preserve">permitan la participación </w:t>
      </w:r>
      <w:r>
        <w:rPr>
          <w:rFonts w:ascii="Century Gothic" w:hAnsi="Century Gothic" w:cs="Arial"/>
        </w:rPr>
        <w:t>mediante</w:t>
      </w:r>
      <w:r w:rsidRPr="00B87FDE">
        <w:rPr>
          <w:rFonts w:ascii="Century Gothic" w:hAnsi="Century Gothic" w:cs="Arial"/>
        </w:rPr>
        <w:t xml:space="preserve"> procesos</w:t>
      </w:r>
      <w:r>
        <w:rPr>
          <w:rFonts w:ascii="Century Gothic" w:hAnsi="Century Gothic" w:cs="Arial"/>
        </w:rPr>
        <w:t xml:space="preserve"> ecológicos</w:t>
      </w:r>
      <w:r w:rsidRPr="00B87FDE">
        <w:rPr>
          <w:rFonts w:ascii="Century Gothic" w:hAnsi="Century Gothic" w:cs="Arial"/>
        </w:rPr>
        <w:t xml:space="preserve"> asegurando el crecimiento</w:t>
      </w:r>
      <w:r>
        <w:rPr>
          <w:rFonts w:ascii="Century Gothic" w:hAnsi="Century Gothic" w:cs="Arial"/>
        </w:rPr>
        <w:t xml:space="preserve"> de la comunidad en los diferente ámbitos culturales, sociales y ambientales.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b/>
          <w:lang w:val="es-MX"/>
        </w:rPr>
      </w:pPr>
      <w:r w:rsidRPr="00E851CA">
        <w:rPr>
          <w:rFonts w:ascii="Century Gothic" w:hAnsi="Century Gothic" w:cs="Arial"/>
          <w:b/>
          <w:lang w:val="es-MX"/>
        </w:rPr>
        <w:t xml:space="preserve">PRESENTACIÓN: 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b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CO"/>
        </w:rPr>
      </w:pPr>
      <w:r w:rsidRPr="00E851CA">
        <w:rPr>
          <w:rFonts w:ascii="Century Gothic" w:hAnsi="Century Gothic" w:cs="Arial"/>
          <w:lang w:val="es-CO"/>
        </w:rPr>
        <w:t xml:space="preserve">Se ha diseñado un formato con una metodología sencilla y práctica que permite acercar a los organismos comunales a la identificación de sus necesidades en el ámbito ambiental y buscar el empoderamiento de sus organizaciones a través de la participación por medio de la convocatoria propuesta por el Instituto Departamental de Acción Comunal de Cundinamarca, publicada en la página Web institucional: </w:t>
      </w:r>
    </w:p>
    <w:p w:rsidR="00642ED2" w:rsidRPr="00E851CA" w:rsidRDefault="00BF50D1" w:rsidP="00642ED2">
      <w:pPr>
        <w:jc w:val="both"/>
        <w:rPr>
          <w:rFonts w:ascii="Century Gothic" w:hAnsi="Century Gothic" w:cs="Arial"/>
          <w:lang w:val="es-MX"/>
        </w:rPr>
      </w:pPr>
      <w:hyperlink r:id="rId8" w:history="1">
        <w:r w:rsidR="00642ED2" w:rsidRPr="00E851CA">
          <w:rPr>
            <w:rStyle w:val="Hipervnculo"/>
            <w:rFonts w:ascii="Century Gothic" w:hAnsi="Century Gothic" w:cs="Arial"/>
            <w:lang w:val="es-MX"/>
          </w:rPr>
          <w:t>http://www.cundinamarca.gov.co/wps/portal/idaco</w:t>
        </w:r>
      </w:hyperlink>
      <w:r w:rsidR="00642ED2" w:rsidRPr="00E851CA">
        <w:rPr>
          <w:rFonts w:ascii="Century Gothic" w:hAnsi="Century Gothic" w:cs="Arial"/>
          <w:lang w:val="es-MX"/>
        </w:rPr>
        <w:t xml:space="preserve">  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CO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CO"/>
        </w:rPr>
      </w:pPr>
      <w:r w:rsidRPr="00E851CA">
        <w:rPr>
          <w:rFonts w:ascii="Century Gothic" w:hAnsi="Century Gothic" w:cs="Arial"/>
          <w:lang w:val="es-CO"/>
        </w:rPr>
        <w:t xml:space="preserve">Dicha </w:t>
      </w:r>
      <w:r w:rsidR="00F76342">
        <w:rPr>
          <w:rFonts w:ascii="Century Gothic" w:hAnsi="Century Gothic" w:cs="Arial"/>
          <w:lang w:val="es-CO"/>
        </w:rPr>
        <w:t xml:space="preserve">metodología para la </w:t>
      </w:r>
      <w:proofErr w:type="spellStart"/>
      <w:r w:rsidR="00F76342">
        <w:rPr>
          <w:rFonts w:ascii="Century Gothic" w:hAnsi="Century Gothic" w:cs="Arial"/>
          <w:lang w:val="es-CO"/>
        </w:rPr>
        <w:t>viabilizació</w:t>
      </w:r>
      <w:r w:rsidRPr="00E851CA">
        <w:rPr>
          <w:rFonts w:ascii="Century Gothic" w:hAnsi="Century Gothic" w:cs="Arial"/>
          <w:lang w:val="es-CO"/>
        </w:rPr>
        <w:t>n</w:t>
      </w:r>
      <w:proofErr w:type="spellEnd"/>
      <w:r w:rsidRPr="00E851CA">
        <w:rPr>
          <w:rFonts w:ascii="Century Gothic" w:hAnsi="Century Gothic" w:cs="Arial"/>
          <w:lang w:val="es-CO"/>
        </w:rPr>
        <w:t xml:space="preserve"> de los proyectos presentados por los Organismos Comunal del Departamento de Cundinamarca, pretende evaluar el nivel de compromiso y de responsabilidad para el cumplimiento de los proyectos, así como la capacidad de promover la participación ciudadana, fomentar el trabajo solidario y especialmente el compromiso por la recuperación de su entorno ambiental.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CO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Los Organismo</w:t>
      </w:r>
      <w:r w:rsidRPr="00E851CA">
        <w:rPr>
          <w:rFonts w:ascii="Century Gothic" w:hAnsi="Century Gothic" w:cs="Arial"/>
        </w:rPr>
        <w:t>s</w:t>
      </w:r>
      <w:r>
        <w:rPr>
          <w:rFonts w:ascii="Century Gothic" w:hAnsi="Century Gothic" w:cs="Arial"/>
        </w:rPr>
        <w:t xml:space="preserve"> Comunales </w:t>
      </w:r>
      <w:r w:rsidR="003411B0">
        <w:rPr>
          <w:rFonts w:ascii="Century Gothic" w:hAnsi="Century Gothic" w:cs="Arial"/>
        </w:rPr>
        <w:t>q</w:t>
      </w:r>
      <w:r w:rsidRPr="00E851CA">
        <w:rPr>
          <w:rFonts w:ascii="Century Gothic" w:hAnsi="Century Gothic" w:cs="Arial"/>
        </w:rPr>
        <w:t>ue han sido</w:t>
      </w:r>
      <w:r w:rsidR="00F76342">
        <w:rPr>
          <w:rFonts w:ascii="Century Gothic" w:hAnsi="Century Gothic" w:cs="Arial"/>
        </w:rPr>
        <w:t xml:space="preserve"> beneficiadas en los años 2016, 2017 y 2018;</w:t>
      </w:r>
      <w:r w:rsidRPr="00E851CA">
        <w:rPr>
          <w:rFonts w:ascii="Century Gothic" w:hAnsi="Century Gothic" w:cs="Arial"/>
        </w:rPr>
        <w:t xml:space="preserve"> con proyec</w:t>
      </w:r>
      <w:r w:rsidR="00F76342">
        <w:rPr>
          <w:rFonts w:ascii="Century Gothic" w:hAnsi="Century Gothic" w:cs="Arial"/>
        </w:rPr>
        <w:t xml:space="preserve">tos de conservación ambiental, </w:t>
      </w:r>
      <w:r w:rsidRPr="00E851CA">
        <w:rPr>
          <w:rFonts w:ascii="Century Gothic" w:hAnsi="Century Gothic" w:cs="Arial"/>
        </w:rPr>
        <w:t>obras de bioingeniería</w:t>
      </w:r>
      <w:r w:rsidR="00F76342">
        <w:rPr>
          <w:rFonts w:ascii="Century Gothic" w:hAnsi="Century Gothic" w:cs="Arial"/>
        </w:rPr>
        <w:t xml:space="preserve"> y ECOPARQUE COMUNAL</w:t>
      </w:r>
      <w:r w:rsidRPr="00E851CA">
        <w:rPr>
          <w:rFonts w:ascii="Century Gothic" w:hAnsi="Century Gothic" w:cs="Arial"/>
        </w:rPr>
        <w:t xml:space="preserve">, no podrán participar en la presente convocatoria. </w:t>
      </w: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</w:p>
    <w:p w:rsidR="00642ED2" w:rsidRPr="001B46F5" w:rsidRDefault="00642ED2" w:rsidP="00642ED2">
      <w:pPr>
        <w:jc w:val="both"/>
        <w:rPr>
          <w:rFonts w:ascii="Century Gothic" w:hAnsi="Century Gothic" w:cs="Arial"/>
        </w:rPr>
      </w:pPr>
      <w:r w:rsidRPr="001B46F5">
        <w:rPr>
          <w:rFonts w:ascii="Century Gothic" w:hAnsi="Century Gothic" w:cs="Arial"/>
        </w:rPr>
        <w:t>Se beneficiarán a máximo tres (3) Organismos Comunales  por cada municipio, para seleccionar los beneficiarios se tendrá en cuenta la puntuación obtenida en la evaluación metodológica y orden de radicación.</w:t>
      </w: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</w:p>
    <w:p w:rsidR="00642ED2" w:rsidRPr="00FA622D" w:rsidRDefault="00642ED2" w:rsidP="00642ED2">
      <w:pPr>
        <w:tabs>
          <w:tab w:val="left" w:pos="6750"/>
        </w:tabs>
        <w:jc w:val="both"/>
        <w:rPr>
          <w:rFonts w:ascii="Century Gothic" w:hAnsi="Century Gothic" w:cs="Arial"/>
        </w:rPr>
      </w:pPr>
      <w:r w:rsidRPr="00F76342">
        <w:rPr>
          <w:rFonts w:ascii="Century Gothic" w:hAnsi="Century Gothic" w:cs="Arial"/>
        </w:rPr>
        <w:t xml:space="preserve">Los Organismos Comunales tendrán que postular un predio asignado por la </w:t>
      </w:r>
      <w:r w:rsidR="003828FE">
        <w:rPr>
          <w:rFonts w:ascii="Century Gothic" w:hAnsi="Century Gothic" w:cs="Arial"/>
          <w:lang w:val="es-CO"/>
        </w:rPr>
        <w:t>Nación, Departamento o Municipio</w:t>
      </w:r>
      <w:r w:rsidR="00F76342" w:rsidRPr="00F76342">
        <w:rPr>
          <w:rFonts w:ascii="Century Gothic" w:hAnsi="Century Gothic" w:cs="Arial"/>
        </w:rPr>
        <w:t xml:space="preserve">, </w:t>
      </w:r>
      <w:r w:rsidRPr="00F76342">
        <w:rPr>
          <w:rFonts w:ascii="Century Gothic" w:hAnsi="Century Gothic" w:cs="Arial"/>
        </w:rPr>
        <w:t>que cuente con un área mínima de 150 metros cuadrados, de lo contrario no podrán participar.</w:t>
      </w:r>
    </w:p>
    <w:p w:rsidR="00642ED2" w:rsidRDefault="00642ED2" w:rsidP="00642ED2">
      <w:pPr>
        <w:jc w:val="both"/>
        <w:rPr>
          <w:rFonts w:ascii="Century Gothic" w:hAnsi="Century Gothic" w:cs="Arial"/>
        </w:rPr>
      </w:pPr>
    </w:p>
    <w:p w:rsidR="004F17B3" w:rsidRDefault="004F17B3" w:rsidP="00642ED2">
      <w:pPr>
        <w:jc w:val="both"/>
        <w:rPr>
          <w:rFonts w:ascii="Century Gothic" w:hAnsi="Century Gothic" w:cs="Arial"/>
          <w:b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b/>
          <w:lang w:val="es-MX"/>
        </w:rPr>
        <w:t xml:space="preserve">PROCEDIMIENTO DE LA CONVOCATORIA: 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b/>
          <w:lang w:val="es-MX"/>
        </w:rPr>
      </w:pPr>
      <w:r w:rsidRPr="00E851CA">
        <w:rPr>
          <w:rFonts w:ascii="Century Gothic" w:hAnsi="Century Gothic" w:cs="Arial"/>
          <w:b/>
          <w:lang w:val="es-MX"/>
        </w:rPr>
        <w:t xml:space="preserve">APERTURA Y PUBLICACIÓN DE LA CONVOCATORIA: 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lang w:val="es-MX"/>
        </w:rPr>
        <w:t xml:space="preserve">La convocatoria será publicada en el micro sitio  de la entidad </w:t>
      </w:r>
      <w:hyperlink r:id="rId9" w:history="1">
        <w:r w:rsidRPr="00E851CA">
          <w:rPr>
            <w:rStyle w:val="Hipervnculo"/>
            <w:rFonts w:ascii="Century Gothic" w:hAnsi="Century Gothic" w:cs="Arial"/>
            <w:lang w:val="es-MX"/>
          </w:rPr>
          <w:t>http://www.cundinamarca.gov.co/wps/portal/idaco</w:t>
        </w:r>
      </w:hyperlink>
      <w:r w:rsidRPr="00E851CA">
        <w:rPr>
          <w:rFonts w:ascii="Century Gothic" w:hAnsi="Century Gothic" w:cs="Arial"/>
          <w:lang w:val="es-MX"/>
        </w:rPr>
        <w:t xml:space="preserve">, </w:t>
      </w:r>
      <w:r w:rsidR="003828FE">
        <w:rPr>
          <w:rFonts w:ascii="Century Gothic" w:hAnsi="Century Gothic" w:cs="Arial"/>
          <w:lang w:val="es-MX"/>
        </w:rPr>
        <w:t xml:space="preserve">el día </w:t>
      </w:r>
      <w:r w:rsidR="00086C7C" w:rsidRPr="004F1D7B">
        <w:rPr>
          <w:rFonts w:ascii="Century Gothic" w:hAnsi="Century Gothic" w:cs="Arial"/>
          <w:lang w:val="es-MX"/>
        </w:rPr>
        <w:t>14</w:t>
      </w:r>
      <w:r w:rsidR="003828FE" w:rsidRPr="004F1D7B">
        <w:rPr>
          <w:rFonts w:ascii="Century Gothic" w:hAnsi="Century Gothic" w:cs="Arial"/>
          <w:lang w:val="es-MX"/>
        </w:rPr>
        <w:t xml:space="preserve"> del mes noviembre </w:t>
      </w:r>
      <w:r w:rsidR="00F76342" w:rsidRPr="004F1D7B">
        <w:rPr>
          <w:rFonts w:ascii="Century Gothic" w:hAnsi="Century Gothic" w:cs="Arial"/>
          <w:lang w:val="es-MX"/>
        </w:rPr>
        <w:t xml:space="preserve"> de 2019</w:t>
      </w:r>
      <w:r w:rsidRPr="004F1D7B">
        <w:rPr>
          <w:rFonts w:ascii="Century Gothic" w:hAnsi="Century Gothic" w:cs="Arial"/>
          <w:lang w:val="es-MX"/>
        </w:rPr>
        <w:t>.</w:t>
      </w:r>
    </w:p>
    <w:p w:rsidR="00642ED2" w:rsidRPr="00E851CA" w:rsidRDefault="00642ED2" w:rsidP="00642ED2">
      <w:pPr>
        <w:pStyle w:val="Prrafodelista"/>
        <w:ind w:left="1160"/>
        <w:jc w:val="both"/>
        <w:rPr>
          <w:rFonts w:ascii="Century Gothic" w:hAnsi="Century Gothic" w:cs="Arial"/>
          <w:lang w:val="es-MX"/>
        </w:rPr>
      </w:pPr>
    </w:p>
    <w:p w:rsidR="00642ED2" w:rsidRDefault="00642ED2" w:rsidP="00642ED2">
      <w:pPr>
        <w:jc w:val="both"/>
        <w:rPr>
          <w:rFonts w:ascii="Century Gothic" w:hAnsi="Century Gothic" w:cs="Arial"/>
          <w:b/>
          <w:lang w:val="es-MX"/>
        </w:rPr>
      </w:pPr>
      <w:r w:rsidRPr="00E851CA">
        <w:rPr>
          <w:rFonts w:ascii="Century Gothic" w:hAnsi="Century Gothic" w:cs="Arial"/>
          <w:b/>
          <w:lang w:val="es-MX"/>
        </w:rPr>
        <w:t>VIABILIDAD DOCUMENTAL Y ADMINISTRATIVA: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lang w:val="es-MX"/>
        </w:rPr>
        <w:t xml:space="preserve"> 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lang w:val="es-MX"/>
        </w:rPr>
      </w:pPr>
      <w:r w:rsidRPr="00E851CA">
        <w:rPr>
          <w:rFonts w:ascii="Century Gothic" w:hAnsi="Century Gothic" w:cs="Arial"/>
          <w:lang w:val="es-MX"/>
        </w:rPr>
        <w:t xml:space="preserve">Todos los documentos solicitados en </w:t>
      </w:r>
      <w:r>
        <w:rPr>
          <w:rFonts w:ascii="Century Gothic" w:hAnsi="Century Gothic" w:cs="Arial"/>
          <w:lang w:val="es-MX"/>
        </w:rPr>
        <w:t xml:space="preserve">el </w:t>
      </w:r>
      <w:r w:rsidRPr="00BE7065">
        <w:rPr>
          <w:rFonts w:ascii="Century Gothic" w:hAnsi="Century Gothic" w:cs="Arial"/>
          <w:b/>
          <w:lang w:val="es-MX"/>
        </w:rPr>
        <w:t xml:space="preserve">Anexo 4 </w:t>
      </w:r>
      <w:r w:rsidRPr="00E851CA">
        <w:rPr>
          <w:rFonts w:ascii="Century Gothic" w:hAnsi="Century Gothic" w:cs="Arial"/>
          <w:lang w:val="es-MX"/>
        </w:rPr>
        <w:t>son de carácter obligatorio teniendo en cuenta la limitación de recursos, la ausencia de uno (1) o más documentos descalificará inmediatamente el proyecto.</w:t>
      </w:r>
    </w:p>
    <w:p w:rsidR="00930FD4" w:rsidRDefault="00930FD4" w:rsidP="00642ED2">
      <w:pPr>
        <w:jc w:val="both"/>
        <w:rPr>
          <w:rFonts w:ascii="Century Gothic" w:hAnsi="Century Gothic" w:cs="Arial"/>
          <w:lang w:val="es-MX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  <w:b/>
        </w:rPr>
      </w:pPr>
      <w:r w:rsidRPr="00E851CA">
        <w:rPr>
          <w:rFonts w:ascii="Century Gothic" w:hAnsi="Century Gothic" w:cs="Arial"/>
          <w:b/>
        </w:rPr>
        <w:t>LA EVALUACIÓN METODOLÓGICA SOLO SE REALIZARÁ A LOS PROYECTOS PRESENTADOS QUE CUMPLAN CON LA TOTALIDAD DE LA DOCUMENTACIÓN EXIGIDA EN LA LISTA DE CHEQUEO.</w:t>
      </w:r>
      <w:r w:rsidR="00F76342">
        <w:rPr>
          <w:rFonts w:ascii="Century Gothic" w:hAnsi="Century Gothic" w:cs="Arial"/>
          <w:b/>
        </w:rPr>
        <w:t xml:space="preserve"> (Anexo 4)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b/>
        </w:rPr>
      </w:pPr>
    </w:p>
    <w:p w:rsidR="00642ED2" w:rsidRPr="00E851CA" w:rsidRDefault="00642ED2" w:rsidP="00642ED2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EVALUACIÓN METODOLÓ</w:t>
      </w:r>
      <w:r w:rsidRPr="00E851CA">
        <w:rPr>
          <w:rFonts w:ascii="Century Gothic" w:hAnsi="Century Gothic"/>
          <w:b/>
          <w:bCs/>
        </w:rPr>
        <w:t xml:space="preserve">GICA: </w:t>
      </w:r>
      <w:r w:rsidRPr="00E851CA">
        <w:rPr>
          <w:rFonts w:ascii="Century Gothic" w:hAnsi="Century Gothic"/>
        </w:rPr>
        <w:t>Consiste en evaluar el formato general de postulación presentada en cada proyecto la cual tendrá ocho (8) criterios de calificación discriminados de la siguiente manera:</w:t>
      </w:r>
    </w:p>
    <w:p w:rsidR="00642ED2" w:rsidRPr="00E851CA" w:rsidRDefault="00642ED2" w:rsidP="00642ED2">
      <w:pPr>
        <w:jc w:val="both"/>
        <w:rPr>
          <w:rFonts w:ascii="Century Gothic" w:hAnsi="Century Gothic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830"/>
        <w:gridCol w:w="5216"/>
        <w:gridCol w:w="993"/>
      </w:tblGrid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jc w:val="center"/>
              <w:rPr>
                <w:rFonts w:ascii="Century Gothic" w:hAnsi="Century Gothic"/>
                <w:b/>
              </w:rPr>
            </w:pPr>
            <w:r w:rsidRPr="00E851CA">
              <w:rPr>
                <w:rFonts w:ascii="Century Gothic" w:hAnsi="Century Gothic"/>
                <w:b/>
              </w:rPr>
              <w:t xml:space="preserve">CRITERIOS DE </w:t>
            </w:r>
            <w:r>
              <w:rPr>
                <w:rFonts w:ascii="Century Gothic" w:hAnsi="Century Gothic"/>
                <w:b/>
              </w:rPr>
              <w:t>EVALUACIÓN FICHA METODOLÓ</w:t>
            </w:r>
            <w:r w:rsidRPr="00E851CA">
              <w:rPr>
                <w:rFonts w:ascii="Century Gothic" w:hAnsi="Century Gothic"/>
                <w:b/>
              </w:rPr>
              <w:t>GICA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jc w:val="center"/>
              <w:rPr>
                <w:rFonts w:ascii="Century Gothic" w:hAnsi="Century Gothic"/>
                <w:b/>
              </w:rPr>
            </w:pPr>
            <w:r w:rsidRPr="00E851CA">
              <w:rPr>
                <w:rFonts w:ascii="Century Gothic" w:hAnsi="Century Gothic"/>
                <w:b/>
              </w:rPr>
              <w:t>INSTRU</w:t>
            </w:r>
            <w:r>
              <w:rPr>
                <w:rFonts w:ascii="Century Gothic" w:hAnsi="Century Gothic"/>
                <w:b/>
              </w:rPr>
              <w:t>CTIVO DE CALIFICACIÓ</w:t>
            </w:r>
            <w:r w:rsidRPr="00E851CA">
              <w:rPr>
                <w:rFonts w:ascii="Century Gothic" w:hAnsi="Century Gothic"/>
                <w:b/>
              </w:rPr>
              <w:t>N</w:t>
            </w: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center"/>
              <w:rPr>
                <w:rFonts w:ascii="Century Gothic" w:hAnsi="Century Gothic"/>
                <w:b/>
              </w:rPr>
            </w:pPr>
            <w:r w:rsidRPr="00E851CA">
              <w:rPr>
                <w:rFonts w:ascii="Century Gothic" w:hAnsi="Century Gothic"/>
                <w:b/>
              </w:rPr>
              <w:t>VALOR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 xml:space="preserve">DILIGENCIAMIENTO GENERAL DEL </w:t>
            </w:r>
            <w:r w:rsidR="00930FD4" w:rsidRPr="00E851CA">
              <w:rPr>
                <w:rFonts w:ascii="Century Gothic" w:hAnsi="Century Gothic"/>
              </w:rPr>
              <w:t>DOCUMENTO (todos</w:t>
            </w:r>
            <w:r w:rsidRPr="00E851CA">
              <w:rPr>
                <w:rFonts w:ascii="Century Gothic" w:hAnsi="Century Gothic"/>
              </w:rPr>
              <w:t xml:space="preserve"> los </w:t>
            </w:r>
            <w:r w:rsidRPr="00E851CA">
              <w:rPr>
                <w:rFonts w:ascii="Century Gothic" w:hAnsi="Century Gothic"/>
              </w:rPr>
              <w:lastRenderedPageBreak/>
              <w:t>ítem deben estar debidamente diligenciados)</w:t>
            </w:r>
            <w:r>
              <w:rPr>
                <w:rFonts w:ascii="Century Gothic" w:hAnsi="Century Gothic"/>
              </w:rPr>
              <w:t>.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lastRenderedPageBreak/>
              <w:t xml:space="preserve">*El no diligenciar uno o más derivados de cada componente asigna menos 1 punto; (Es decir de la puntuación obtenida resto 1 punto.)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lastRenderedPageBreak/>
              <w:t xml:space="preserve">*El diligenciamiento total de los 5 componentes y sus derivados asigna 5 puntos. </w:t>
            </w: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lastRenderedPageBreak/>
              <w:t>5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4F1D7B" w:rsidP="004F1D7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CORREO ELECTRÓ</w:t>
            </w:r>
            <w:r w:rsidR="00642ED2" w:rsidRPr="00E851CA">
              <w:rPr>
                <w:rFonts w:ascii="Century Gothic" w:hAnsi="Century Gothic"/>
              </w:rPr>
              <w:t>NICO DE LA JAC</w:t>
            </w:r>
            <w:r>
              <w:rPr>
                <w:rFonts w:ascii="Century Gothic" w:hAnsi="Century Gothic"/>
              </w:rPr>
              <w:t xml:space="preserve">  </w:t>
            </w:r>
          </w:p>
        </w:tc>
        <w:tc>
          <w:tcPr>
            <w:tcW w:w="5216" w:type="dxa"/>
          </w:tcPr>
          <w:p w:rsidR="00642ED2" w:rsidRPr="00E851CA" w:rsidRDefault="004F1D7B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642ED2" w:rsidRPr="00E851CA">
              <w:rPr>
                <w:rFonts w:ascii="Century Gothic" w:hAnsi="Century Gothic"/>
                <w:sz w:val="20"/>
                <w:szCs w:val="20"/>
              </w:rPr>
              <w:t xml:space="preserve">El no registro asigna menos 2 puntos. (Es decir </w:t>
            </w:r>
            <w:r w:rsidR="007F002C">
              <w:rPr>
                <w:rFonts w:ascii="Century Gothic" w:hAnsi="Century Gothic"/>
                <w:sz w:val="20"/>
                <w:szCs w:val="20"/>
              </w:rPr>
              <w:t xml:space="preserve">de la puntuación obtenida resto </w:t>
            </w:r>
            <w:r w:rsidR="00642ED2" w:rsidRPr="00E851CA">
              <w:rPr>
                <w:rFonts w:ascii="Century Gothic" w:hAnsi="Century Gothic"/>
                <w:sz w:val="20"/>
                <w:szCs w:val="20"/>
              </w:rPr>
              <w:t xml:space="preserve">dos puntos.)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 xml:space="preserve">*El registro del correo de la JAC asigna 2 puntos. </w:t>
            </w: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2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GESTIÓ</w:t>
            </w:r>
            <w:r w:rsidRPr="00E851CA">
              <w:rPr>
                <w:rFonts w:ascii="Century Gothic" w:hAnsi="Century Gothic"/>
              </w:rPr>
              <w:t>N DE LA JAC - INCLUYE REGISTRO AUDIOVISUAL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*El no evidenciar actividades comunales asigna menos 2 puntos. </w:t>
            </w:r>
          </w:p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*La evidencia de 1 actividades le asigna 1 punto. </w:t>
            </w:r>
          </w:p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*La evidencia de 2 actividades le asigna 2 puntos. </w:t>
            </w:r>
          </w:p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*La evidencia de 3 actividades le asigna 3 puntos. </w:t>
            </w:r>
          </w:p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*La evidencia de 4 actividades le asigna 4 puntos. </w:t>
            </w:r>
          </w:p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*La evidencia de más de 5 actividades le asigna 5 puntos.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  <w:b/>
                <w:bCs/>
              </w:rPr>
              <w:t xml:space="preserve">Nota. Cada actividad debe ser diferente para su puntuación. </w:t>
            </w: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5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PLANTEAMIENTO DEL PROBLEMA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Se evalúa que exista dentro de la redacción el problema a mejorar y cuatro fotografías referenciadas en el formato de postulación. </w:t>
            </w:r>
          </w:p>
          <w:p w:rsidR="00642ED2" w:rsidRPr="00E851CA" w:rsidRDefault="007F002C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*</w:t>
            </w:r>
            <w:r w:rsidR="00642ED2" w:rsidRPr="00E851CA">
              <w:rPr>
                <w:rFonts w:ascii="Century Gothic" w:hAnsi="Century Gothic"/>
                <w:sz w:val="20"/>
                <w:szCs w:val="20"/>
              </w:rPr>
              <w:t>El no registró del problema a mejorar asigna menos 2</w:t>
            </w:r>
            <w:r w:rsidR="00642ED2">
              <w:rPr>
                <w:rFonts w:ascii="Century Gothic" w:hAnsi="Century Gothic"/>
                <w:sz w:val="20"/>
                <w:szCs w:val="20"/>
              </w:rPr>
              <w:t xml:space="preserve"> puntos</w:t>
            </w:r>
            <w:r w:rsidR="00642ED2" w:rsidRPr="00E851CA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sz w:val="20"/>
                <w:szCs w:val="20"/>
              </w:rPr>
              <w:t xml:space="preserve">*El registro del problema a mejorar asigna 2 puntos.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 xml:space="preserve">*El no evidenciar fotografías asigna menos dos puntos.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*La evidencia de 1 fotografía asigna 1 punto</w:t>
            </w:r>
            <w:r w:rsidR="004F1D7B">
              <w:rPr>
                <w:rFonts w:ascii="Century Gothic" w:hAnsi="Century Gothic"/>
              </w:rPr>
              <w:t>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*La evidencia de 2 fotografías asigna 2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*La evidencia de 3 fotografías asigna 3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*L</w:t>
            </w:r>
            <w:r w:rsidRPr="00E851CA">
              <w:rPr>
                <w:rFonts w:ascii="Century Gothic" w:hAnsi="Century Gothic"/>
              </w:rPr>
              <w:t>a evidencia de 4 fotografías asigna 4 puntos.</w:t>
            </w: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6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COMPROMISO COMUNAL -</w:t>
            </w:r>
            <w:r w:rsidRPr="00E851CA">
              <w:rPr>
                <w:rFonts w:ascii="Century Gothic" w:hAnsi="Century Gothic"/>
              </w:rPr>
              <w:t>COMPENSACIÓN FORESTAL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 este se calificará</w:t>
            </w:r>
            <w:r w:rsidRPr="00E851CA">
              <w:rPr>
                <w:rFonts w:ascii="Century Gothic" w:hAnsi="Century Gothic"/>
              </w:rPr>
              <w:t xml:space="preserve"> quien </w:t>
            </w:r>
            <w:r>
              <w:rPr>
                <w:rFonts w:ascii="Century Gothic" w:hAnsi="Century Gothic"/>
              </w:rPr>
              <w:t xml:space="preserve">registre </w:t>
            </w:r>
            <w:r w:rsidRPr="00E851CA">
              <w:rPr>
                <w:rFonts w:ascii="Century Gothic" w:hAnsi="Century Gothic"/>
              </w:rPr>
              <w:t xml:space="preserve">y describa las especies a utilizar.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7F002C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r w:rsidR="00642ED2" w:rsidRPr="00E851CA">
              <w:rPr>
                <w:rFonts w:ascii="Century Gothic" w:hAnsi="Century Gothic"/>
              </w:rPr>
              <w:t>El registro de los árboles forestales y/o ornamentales de la región asignara un puntaje de 5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*El no registrar  los árboles forestales y/o ornamentales de la región se asignara menos 4 puntos. (Es decir de la puntuación obtenida resto 4 puntos.)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*La descripción de la especie de  árboles forestales y/o ornamentales de la región asignara 5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*El no describir las especies de los árboles forestales y/o ornamentales de la región se asignara menos 4 puntos. (Es decir de la puntuación obtenida resto 4 puntos.)</w:t>
            </w:r>
          </w:p>
          <w:p w:rsidR="009D427C" w:rsidRPr="00E851CA" w:rsidRDefault="009D427C" w:rsidP="00B016A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10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SE</w:t>
            </w:r>
            <w:r w:rsidRPr="00B719CB">
              <w:rPr>
                <w:rFonts w:ascii="Century Gothic" w:hAnsi="Century Gothic"/>
              </w:rPr>
              <w:t>Ñ</w:t>
            </w:r>
            <w:r w:rsidRPr="00E851CA">
              <w:rPr>
                <w:rFonts w:ascii="Century Gothic" w:hAnsi="Century Gothic"/>
              </w:rPr>
              <w:t>ALIZACIÓN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*El no registrar ni un enunciado alusivo al medio ambiente asigna menos 3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 xml:space="preserve">* La </w:t>
            </w:r>
            <w:r w:rsidR="00633583">
              <w:rPr>
                <w:rFonts w:ascii="Century Gothic" w:hAnsi="Century Gothic"/>
              </w:rPr>
              <w:t>evidencia de 1 enunciado asigna 2</w:t>
            </w:r>
            <w:r w:rsidRPr="00E851CA">
              <w:rPr>
                <w:rFonts w:ascii="Century Gothic" w:hAnsi="Century Gothic"/>
              </w:rPr>
              <w:t xml:space="preserve"> puntos </w:t>
            </w:r>
          </w:p>
          <w:p w:rsidR="00642ED2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 La ev</w:t>
            </w:r>
            <w:r w:rsidR="00633583">
              <w:rPr>
                <w:rFonts w:ascii="Century Gothic" w:hAnsi="Century Gothic"/>
              </w:rPr>
              <w:t>idencia de 2 enunciados asigna 2</w:t>
            </w:r>
            <w:r w:rsidRPr="00E851CA">
              <w:rPr>
                <w:rFonts w:ascii="Century Gothic" w:hAnsi="Century Gothic"/>
              </w:rPr>
              <w:t xml:space="preserve"> puntos </w:t>
            </w:r>
          </w:p>
          <w:p w:rsidR="00633583" w:rsidRPr="00E851CA" w:rsidRDefault="00633583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 La ev</w:t>
            </w:r>
            <w:r>
              <w:rPr>
                <w:rFonts w:ascii="Century Gothic" w:hAnsi="Century Gothic"/>
              </w:rPr>
              <w:t>idencia de 3 enunciados asigna 2</w:t>
            </w:r>
            <w:r w:rsidRPr="00E851CA">
              <w:rPr>
                <w:rFonts w:ascii="Century Gothic" w:hAnsi="Century Gothic"/>
              </w:rPr>
              <w:t xml:space="preserve"> puntos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642ED2" w:rsidP="00B016A9">
            <w:pPr>
              <w:pStyle w:val="Defaul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E851CA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Nota. Cada enunciado debe ser diferente para su puntuación.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6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ESTRATEGIA AMBIENTAL 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*El no presentar evidencias de las </w:t>
            </w:r>
            <w:r>
              <w:rPr>
                <w:rFonts w:ascii="Century Gothic" w:hAnsi="Century Gothic" w:cs="Arial"/>
                <w:lang w:val="es-MX"/>
              </w:rPr>
              <w:t xml:space="preserve">actividades a realizar </w:t>
            </w:r>
            <w:r w:rsidRPr="008212FC">
              <w:rPr>
                <w:rFonts w:ascii="Century Gothic" w:hAnsi="Century Gothic" w:cs="Arial"/>
                <w:lang w:val="es-MX"/>
              </w:rPr>
              <w:t>para el mejoramiento y embellecimiento del predio</w:t>
            </w:r>
            <w:r w:rsidRPr="00E851CA">
              <w:rPr>
                <w:rFonts w:ascii="Century Gothic" w:hAnsi="Century Gothic"/>
              </w:rPr>
              <w:t xml:space="preserve"> asigna menos 5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 xml:space="preserve">*El presentar </w:t>
            </w:r>
            <w:r>
              <w:rPr>
                <w:rFonts w:ascii="Century Gothic" w:hAnsi="Century Gothic"/>
              </w:rPr>
              <w:t xml:space="preserve">más de cuatro evidencias de las actividades o diseños  a </w:t>
            </w:r>
            <w:r>
              <w:rPr>
                <w:rFonts w:ascii="Century Gothic" w:hAnsi="Century Gothic" w:cs="Arial"/>
                <w:lang w:val="es-MX"/>
              </w:rPr>
              <w:t xml:space="preserve">realizar </w:t>
            </w:r>
            <w:r w:rsidRPr="008212FC">
              <w:rPr>
                <w:rFonts w:ascii="Century Gothic" w:hAnsi="Century Gothic" w:cs="Arial"/>
                <w:lang w:val="es-MX"/>
              </w:rPr>
              <w:t>para el mejoramiento y embellecimiento del predio</w:t>
            </w:r>
            <w:r>
              <w:rPr>
                <w:rFonts w:ascii="Century Gothic" w:hAnsi="Century Gothic"/>
              </w:rPr>
              <w:t xml:space="preserve"> </w:t>
            </w:r>
            <w:r w:rsidRPr="00E851CA">
              <w:rPr>
                <w:rFonts w:ascii="Century Gothic" w:hAnsi="Century Gothic"/>
              </w:rPr>
              <w:t>asignara 10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10</w:t>
            </w:r>
          </w:p>
        </w:tc>
      </w:tr>
      <w:tr w:rsidR="00642ED2" w:rsidRPr="00E851CA" w:rsidTr="00B016A9">
        <w:tc>
          <w:tcPr>
            <w:tcW w:w="2830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 xml:space="preserve">APORTE ECONOMICO </w:t>
            </w:r>
          </w:p>
        </w:tc>
        <w:tc>
          <w:tcPr>
            <w:tcW w:w="5216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*El no diligenciar el cuadro del aporte económico asigna menos 3 puntos.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 xml:space="preserve">*El diligenciamiento del cuadro del aporte económico asigna 6 puntos. </w:t>
            </w:r>
          </w:p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9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6</w:t>
            </w:r>
          </w:p>
        </w:tc>
      </w:tr>
      <w:tr w:rsidR="00642ED2" w:rsidRPr="00E851CA" w:rsidTr="00B016A9">
        <w:trPr>
          <w:trHeight w:val="365"/>
        </w:trPr>
        <w:tc>
          <w:tcPr>
            <w:tcW w:w="2830" w:type="dxa"/>
          </w:tcPr>
          <w:p w:rsidR="00642ED2" w:rsidRPr="007F002C" w:rsidRDefault="00642ED2" w:rsidP="00B016A9">
            <w:pPr>
              <w:jc w:val="both"/>
              <w:rPr>
                <w:rFonts w:ascii="Century Gothic" w:hAnsi="Century Gothic"/>
                <w:b/>
              </w:rPr>
            </w:pPr>
            <w:r w:rsidRPr="007F002C">
              <w:rPr>
                <w:rFonts w:ascii="Century Gothic" w:hAnsi="Century Gothic"/>
                <w:b/>
              </w:rPr>
              <w:t xml:space="preserve">TOTAL DEL PUNTAJE </w:t>
            </w:r>
          </w:p>
        </w:tc>
        <w:tc>
          <w:tcPr>
            <w:tcW w:w="5216" w:type="dxa"/>
          </w:tcPr>
          <w:p w:rsidR="00642ED2" w:rsidRPr="007F002C" w:rsidRDefault="00642ED2" w:rsidP="00B016A9">
            <w:pPr>
              <w:jc w:val="both"/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</w:tcPr>
          <w:p w:rsidR="00642ED2" w:rsidRPr="007F002C" w:rsidRDefault="00642ED2" w:rsidP="00B016A9">
            <w:pPr>
              <w:jc w:val="both"/>
              <w:rPr>
                <w:rFonts w:ascii="Century Gothic" w:hAnsi="Century Gothic"/>
                <w:b/>
              </w:rPr>
            </w:pPr>
            <w:r w:rsidRPr="007F002C">
              <w:rPr>
                <w:rFonts w:ascii="Century Gothic" w:hAnsi="Century Gothic"/>
                <w:b/>
              </w:rPr>
              <w:t>50</w:t>
            </w:r>
          </w:p>
        </w:tc>
      </w:tr>
    </w:tbl>
    <w:p w:rsidR="00642ED2" w:rsidRPr="00E851CA" w:rsidRDefault="00642ED2" w:rsidP="00642ED2">
      <w:pPr>
        <w:jc w:val="both"/>
        <w:rPr>
          <w:rFonts w:ascii="Century Gothic" w:hAnsi="Century Gothic" w:cs="Arial"/>
          <w:b/>
        </w:rPr>
      </w:pPr>
    </w:p>
    <w:p w:rsidR="004F17B3" w:rsidRDefault="004F17B3" w:rsidP="00642ED2">
      <w:pPr>
        <w:jc w:val="both"/>
        <w:rPr>
          <w:rFonts w:ascii="Century Gothic" w:hAnsi="Century Gothic" w:cs="Arial"/>
        </w:rPr>
      </w:pPr>
    </w:p>
    <w:p w:rsidR="00642ED2" w:rsidRPr="00570A6A" w:rsidRDefault="00642ED2" w:rsidP="00642ED2">
      <w:pPr>
        <w:jc w:val="both"/>
        <w:rPr>
          <w:rFonts w:ascii="Century Gothic" w:hAnsi="Century Gothic" w:cs="Arial"/>
        </w:rPr>
      </w:pPr>
      <w:r w:rsidRPr="00E851CA">
        <w:rPr>
          <w:rFonts w:ascii="Century Gothic" w:hAnsi="Century Gothic" w:cs="Arial"/>
        </w:rPr>
        <w:t>El puntaje asignado a cada ítem permitirá realizar un listado en orden ascendente.</w:t>
      </w:r>
    </w:p>
    <w:p w:rsidR="00642ED2" w:rsidRDefault="00642ED2" w:rsidP="00642ED2">
      <w:pPr>
        <w:jc w:val="both"/>
        <w:rPr>
          <w:rFonts w:ascii="Century Gothic" w:hAnsi="Century Gothic"/>
          <w:b/>
          <w:bCs/>
        </w:rPr>
      </w:pPr>
    </w:p>
    <w:p w:rsidR="00642ED2" w:rsidRPr="00E851CA" w:rsidRDefault="00642ED2" w:rsidP="00642ED2">
      <w:pPr>
        <w:jc w:val="both"/>
        <w:rPr>
          <w:rFonts w:ascii="Century Gothic" w:hAnsi="Century Gothic"/>
          <w:b/>
          <w:bCs/>
        </w:rPr>
      </w:pPr>
      <w:r w:rsidRPr="00E851CA">
        <w:rPr>
          <w:rFonts w:ascii="Century Gothic" w:hAnsi="Century Gothic"/>
          <w:b/>
          <w:bCs/>
        </w:rPr>
        <w:t>NOTA: EN EL MOMENTO DE GENERARSE UN EMPATE CON EL PUNTAJE OTORGADO EN LA EVALUACIÓN METODOLOGICA, EL CRITERIO DE DESEMPATE SERÁ LA FECHA Y HORA DE RADICACIÓN DEL PROYECTO; VERIFICADO MEDIANTE LA PLATAFOR</w:t>
      </w:r>
      <w:r>
        <w:rPr>
          <w:rFonts w:ascii="Century Gothic" w:hAnsi="Century Gothic"/>
          <w:b/>
          <w:bCs/>
        </w:rPr>
        <w:t>M</w:t>
      </w:r>
      <w:r w:rsidR="007F002C">
        <w:rPr>
          <w:rFonts w:ascii="Century Gothic" w:hAnsi="Century Gothic"/>
          <w:b/>
          <w:bCs/>
        </w:rPr>
        <w:t>A MERCURIO (Ú</w:t>
      </w:r>
      <w:r w:rsidRPr="00E851CA">
        <w:rPr>
          <w:rFonts w:ascii="Century Gothic" w:hAnsi="Century Gothic"/>
          <w:b/>
          <w:bCs/>
        </w:rPr>
        <w:t>NICO MEDIO AUTORIZADO POR EL INSTITUTO PARA RADICAR).</w:t>
      </w:r>
    </w:p>
    <w:p w:rsidR="00642ED2" w:rsidRPr="00E851CA" w:rsidRDefault="00642ED2" w:rsidP="00642ED2">
      <w:pPr>
        <w:jc w:val="both"/>
        <w:rPr>
          <w:rFonts w:ascii="Century Gothic" w:hAnsi="Century Gothic"/>
          <w:b/>
          <w:bCs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  <w:r w:rsidRPr="00E851CA">
        <w:rPr>
          <w:rFonts w:ascii="Century Gothic" w:hAnsi="Century Gothic" w:cs="Arial"/>
        </w:rPr>
        <w:t>Esta publicación cuenta con dos (2) días hábiles para solicitar aclaración de la puntuación obtenida en la evaluación metodológica.</w:t>
      </w: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</w:p>
    <w:p w:rsidR="00642ED2" w:rsidRPr="00E851CA" w:rsidRDefault="007F002C" w:rsidP="00642ED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Adicionalmente se publicará</w:t>
      </w:r>
      <w:r w:rsidR="00642ED2" w:rsidRPr="00E851CA">
        <w:rPr>
          <w:rFonts w:ascii="Century Gothic" w:hAnsi="Century Gothic" w:cs="Arial"/>
        </w:rPr>
        <w:t xml:space="preserve"> el listado reiterando los puntajes y puestos obtenidos.</w:t>
      </w: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  <w:r w:rsidRPr="00E851CA">
        <w:rPr>
          <w:rFonts w:ascii="Century Gothic" w:hAnsi="Century Gothic" w:cs="Arial"/>
        </w:rPr>
        <w:t>Teniendo en cuenta las limitaciones de recursos y que el número de proyectos a presentarse no es controlable, los proyectos que pasan a verificación técnica y social serán los que obtengan los mayores puntajes, de acuerdo a la disponibilidad de recursos y el corte de financiación de número de proyectos.</w:t>
      </w: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  <w:r w:rsidRPr="00E851CA">
        <w:rPr>
          <w:rFonts w:ascii="Century Gothic" w:hAnsi="Century Gothic" w:cs="Arial"/>
        </w:rPr>
        <w:t>Los proyectos que obtengan mayor puntuación en la Evaluación metodológica serán visitados para la verificación técnica y soci</w:t>
      </w:r>
      <w:r>
        <w:rPr>
          <w:rFonts w:ascii="Century Gothic" w:hAnsi="Century Gothic" w:cs="Arial"/>
        </w:rPr>
        <w:t xml:space="preserve">al, en caso de haber en la lista  más de tres Organismos Comunales </w:t>
      </w:r>
      <w:r w:rsidRPr="00E851CA">
        <w:rPr>
          <w:rFonts w:ascii="Century Gothic" w:hAnsi="Century Gothic" w:cs="Arial"/>
        </w:rPr>
        <w:t xml:space="preserve"> por municipio serán escogidos de acuerdo al orden de radicación.</w:t>
      </w: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 xml:space="preserve">Posterior se publicará </w:t>
      </w:r>
      <w:r w:rsidRPr="00E851CA">
        <w:rPr>
          <w:rFonts w:ascii="Century Gothic" w:hAnsi="Century Gothic" w:cs="Arial"/>
        </w:rPr>
        <w:t>un cronograma indicando fecha y hora de realización de visita de verificación técnica y social, para lo cual deben estar pendientes en página.</w:t>
      </w:r>
    </w:p>
    <w:p w:rsidR="00642ED2" w:rsidRDefault="00642ED2" w:rsidP="00642ED2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NOTA: ESTE CRONOGRAMA NO PODRÁ</w:t>
      </w:r>
      <w:r w:rsidRPr="00E851CA">
        <w:rPr>
          <w:rFonts w:ascii="Century Gothic" w:hAnsi="Century Gothic" w:cs="Arial"/>
          <w:b/>
        </w:rPr>
        <w:t xml:space="preserve"> SER MODIFICADO EN FECHA Y HORA POR NINGUNA DE SUS PARTES (JAC-INSTITUTO) A NO SER DE CASO FORTUITO Y/O TRAGEDIA NATURAL. POR LO ANTERIOR CADA UNA DE LAS JUNTAS</w:t>
      </w:r>
      <w:r w:rsidR="007F002C">
        <w:rPr>
          <w:rFonts w:ascii="Century Gothic" w:hAnsi="Century Gothic" w:cs="Arial"/>
          <w:b/>
        </w:rPr>
        <w:t xml:space="preserve"> POSTULADAS DEBE VERIFICAR SU DÍ</w:t>
      </w:r>
      <w:r w:rsidRPr="00E851CA">
        <w:rPr>
          <w:rFonts w:ascii="Century Gothic" w:hAnsi="Century Gothic" w:cs="Arial"/>
          <w:b/>
        </w:rPr>
        <w:t>A DE VISITA EN LA PÁGINA</w:t>
      </w:r>
      <w:r w:rsidR="007F002C">
        <w:rPr>
          <w:rFonts w:ascii="Century Gothic" w:hAnsi="Century Gothic" w:cs="Arial"/>
          <w:b/>
        </w:rPr>
        <w:t>.</w:t>
      </w:r>
      <w:r w:rsidRPr="00E851CA">
        <w:rPr>
          <w:rFonts w:ascii="Century Gothic" w:hAnsi="Century Gothic" w:cs="Arial"/>
          <w:b/>
        </w:rPr>
        <w:t xml:space="preserve"> </w:t>
      </w:r>
    </w:p>
    <w:p w:rsidR="00642ED2" w:rsidRDefault="00642ED2" w:rsidP="00642ED2">
      <w:pPr>
        <w:jc w:val="both"/>
        <w:rPr>
          <w:rFonts w:ascii="Century Gothic" w:hAnsi="Century Gothic" w:cs="Arial"/>
          <w:b/>
        </w:rPr>
      </w:pPr>
    </w:p>
    <w:p w:rsidR="00642ED2" w:rsidRDefault="00BF50D1" w:rsidP="00642ED2">
      <w:pPr>
        <w:jc w:val="both"/>
        <w:rPr>
          <w:rFonts w:ascii="Century Gothic" w:hAnsi="Century Gothic" w:cs="Arial"/>
        </w:rPr>
      </w:pPr>
      <w:hyperlink r:id="rId10" w:history="1">
        <w:r w:rsidR="00642ED2" w:rsidRPr="00E851CA">
          <w:rPr>
            <w:rStyle w:val="Hipervnculo"/>
            <w:rFonts w:ascii="Century Gothic" w:hAnsi="Century Gothic" w:cs="Arial"/>
          </w:rPr>
          <w:t>http://www.cundinamarca.gov.co/wps/portal/Home/SecretariasEntidades.gc/idaco/IdacoDespliegue/asservicioalciudadano/cservicioalciuda_convocatorias</w:t>
        </w:r>
      </w:hyperlink>
      <w:r w:rsidR="00642ED2" w:rsidRPr="00E851CA">
        <w:rPr>
          <w:rFonts w:ascii="Century Gothic" w:hAnsi="Century Gothic" w:cs="Arial"/>
        </w:rPr>
        <w:t xml:space="preserve">  , Y CUMPLIR CON EL </w:t>
      </w:r>
      <w:r w:rsidR="00642ED2" w:rsidRPr="00BE7065">
        <w:rPr>
          <w:rFonts w:ascii="Century Gothic" w:hAnsi="Century Gothic" w:cs="Arial"/>
        </w:rPr>
        <w:t>SIGUIENTE REQUISITO: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b/>
        </w:rPr>
      </w:pPr>
    </w:p>
    <w:p w:rsidR="00642ED2" w:rsidRPr="00E851CA" w:rsidRDefault="00642ED2" w:rsidP="00642ED2">
      <w:pPr>
        <w:jc w:val="both"/>
        <w:rPr>
          <w:rFonts w:ascii="Century Gothic" w:hAnsi="Century Gothic" w:cs="Arial"/>
        </w:rPr>
      </w:pPr>
      <w:r w:rsidRPr="00E851CA">
        <w:rPr>
          <w:rFonts w:ascii="Century Gothic" w:hAnsi="Century Gothic" w:cs="Arial"/>
        </w:rPr>
        <w:t>1. EL PRESIDENTE SERÁ EL R</w:t>
      </w:r>
      <w:r>
        <w:rPr>
          <w:rFonts w:ascii="Century Gothic" w:hAnsi="Century Gothic" w:cs="Arial"/>
        </w:rPr>
        <w:t>ESPONSABLE DE RECIBIR LA VISITA TÉCNICA</w:t>
      </w:r>
      <w:r w:rsidRPr="00E851CA">
        <w:rPr>
          <w:rFonts w:ascii="Century Gothic" w:hAnsi="Century Gothic" w:cs="Arial"/>
        </w:rPr>
        <w:t xml:space="preserve"> DEL IDACO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b/>
        </w:rPr>
      </w:pPr>
    </w:p>
    <w:p w:rsidR="004F17B3" w:rsidRDefault="004F17B3" w:rsidP="00642ED2">
      <w:pPr>
        <w:jc w:val="both"/>
        <w:rPr>
          <w:rFonts w:ascii="Century Gothic" w:hAnsi="Century Gothic" w:cs="Arial"/>
          <w:b/>
        </w:rPr>
      </w:pPr>
    </w:p>
    <w:p w:rsidR="00642ED2" w:rsidRDefault="00633583" w:rsidP="00642ED2">
      <w:pPr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VISITA DE INSPECCIÓ</w:t>
      </w:r>
      <w:r w:rsidR="00642ED2" w:rsidRPr="00E851CA">
        <w:rPr>
          <w:rFonts w:ascii="Century Gothic" w:hAnsi="Century Gothic" w:cs="Arial"/>
          <w:b/>
        </w:rPr>
        <w:t>N Y VERIFICACIÓN EN CAMPO.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b/>
        </w:rPr>
      </w:pPr>
    </w:p>
    <w:p w:rsidR="00642ED2" w:rsidRDefault="00642ED2" w:rsidP="00642ED2">
      <w:pPr>
        <w:jc w:val="both"/>
        <w:rPr>
          <w:rFonts w:ascii="Century Gothic" w:hAnsi="Century Gothic" w:cs="Arial"/>
        </w:rPr>
      </w:pPr>
      <w:r w:rsidRPr="00E851CA">
        <w:rPr>
          <w:rFonts w:ascii="Century Gothic" w:hAnsi="Century Gothic" w:cs="Arial"/>
        </w:rPr>
        <w:t>Esta visita se desarrollará como inspección y verificación en terreno de la necesidad e idoneidad del proyecto postulado, cada presidente deberá recibir la comisión del IDACO y contar con disponibilidad de tiempo para acompañar la misma.</w:t>
      </w:r>
    </w:p>
    <w:p w:rsidR="009D427C" w:rsidRPr="00E851CA" w:rsidRDefault="009D427C" w:rsidP="00642ED2">
      <w:pPr>
        <w:jc w:val="both"/>
        <w:rPr>
          <w:rFonts w:ascii="Century Gothic" w:hAnsi="Century Gothic" w:cs="Arial"/>
        </w:rPr>
      </w:pPr>
    </w:p>
    <w:p w:rsidR="004F17B3" w:rsidRDefault="004F17B3" w:rsidP="00930FD4">
      <w:pPr>
        <w:jc w:val="both"/>
        <w:rPr>
          <w:rFonts w:ascii="Century Gothic" w:hAnsi="Century Gothic" w:cs="Arial"/>
          <w:b/>
          <w:lang w:val="es-MX"/>
        </w:rPr>
      </w:pPr>
    </w:p>
    <w:p w:rsidR="0055639F" w:rsidRPr="00930FD4" w:rsidRDefault="0055639F" w:rsidP="00930FD4">
      <w:pPr>
        <w:jc w:val="both"/>
        <w:rPr>
          <w:rFonts w:ascii="Century Gothic" w:hAnsi="Century Gothic" w:cs="Arial"/>
          <w:b/>
          <w:lang w:val="es-MX"/>
        </w:rPr>
      </w:pPr>
    </w:p>
    <w:p w:rsidR="00642ED2" w:rsidRDefault="00642ED2" w:rsidP="00642ED2">
      <w:pPr>
        <w:jc w:val="center"/>
        <w:rPr>
          <w:rFonts w:ascii="Century Gothic" w:hAnsi="Century Gothic"/>
          <w:b/>
        </w:rPr>
      </w:pPr>
      <w:r w:rsidRPr="00E851CA">
        <w:rPr>
          <w:rFonts w:ascii="Century Gothic" w:hAnsi="Century Gothic"/>
          <w:b/>
        </w:rPr>
        <w:t xml:space="preserve">CRONOGRAMA DE </w:t>
      </w:r>
      <w:r w:rsidR="004F17B3" w:rsidRPr="00E851CA">
        <w:rPr>
          <w:rFonts w:ascii="Century Gothic" w:hAnsi="Century Gothic"/>
          <w:b/>
        </w:rPr>
        <w:t>LA CONVOCATORIA</w:t>
      </w:r>
    </w:p>
    <w:p w:rsidR="0055639F" w:rsidRDefault="0055639F" w:rsidP="00642ED2">
      <w:pPr>
        <w:jc w:val="center"/>
        <w:rPr>
          <w:rFonts w:ascii="Century Gothic" w:hAnsi="Century Gothic"/>
          <w:b/>
        </w:rPr>
      </w:pPr>
    </w:p>
    <w:p w:rsidR="004F17B3" w:rsidRPr="00E851CA" w:rsidRDefault="004F17B3" w:rsidP="00642ED2">
      <w:pPr>
        <w:jc w:val="center"/>
        <w:rPr>
          <w:rFonts w:ascii="Century Gothic" w:hAnsi="Century Gothic"/>
          <w:b/>
        </w:rPr>
      </w:pPr>
    </w:p>
    <w:p w:rsidR="00642ED2" w:rsidRPr="00E851CA" w:rsidRDefault="00642ED2" w:rsidP="00642ED2">
      <w:pPr>
        <w:jc w:val="both"/>
        <w:rPr>
          <w:rFonts w:ascii="Century Gothic" w:eastAsiaTheme="minorHAnsi" w:hAnsi="Century Gothic" w:cs="Calibri"/>
          <w:lang w:val="es-CO" w:eastAsia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268"/>
        <w:gridCol w:w="3559"/>
      </w:tblGrid>
      <w:tr w:rsidR="00642ED2" w:rsidRPr="00E851CA" w:rsidTr="00582399">
        <w:tc>
          <w:tcPr>
            <w:tcW w:w="534" w:type="dxa"/>
          </w:tcPr>
          <w:p w:rsidR="00642ED2" w:rsidRPr="00BE7065" w:rsidRDefault="00642ED2" w:rsidP="00B016A9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</w:t>
            </w:r>
          </w:p>
        </w:tc>
        <w:tc>
          <w:tcPr>
            <w:tcW w:w="2693" w:type="dxa"/>
          </w:tcPr>
          <w:p w:rsidR="00642ED2" w:rsidRPr="00BE7065" w:rsidRDefault="00642ED2" w:rsidP="00B016A9">
            <w:pPr>
              <w:jc w:val="center"/>
              <w:rPr>
                <w:rFonts w:ascii="Century Gothic" w:hAnsi="Century Gothic"/>
                <w:b/>
              </w:rPr>
            </w:pPr>
            <w:r w:rsidRPr="00BE7065">
              <w:rPr>
                <w:rFonts w:ascii="Century Gothic" w:hAnsi="Century Gothic"/>
                <w:b/>
              </w:rPr>
              <w:t>ACTIVIDAD</w:t>
            </w:r>
          </w:p>
        </w:tc>
        <w:tc>
          <w:tcPr>
            <w:tcW w:w="2268" w:type="dxa"/>
          </w:tcPr>
          <w:p w:rsidR="00642ED2" w:rsidRPr="00BE7065" w:rsidRDefault="00642ED2" w:rsidP="00B016A9">
            <w:pPr>
              <w:jc w:val="center"/>
              <w:rPr>
                <w:rFonts w:ascii="Century Gothic" w:hAnsi="Century Gothic"/>
                <w:b/>
              </w:rPr>
            </w:pPr>
            <w:r w:rsidRPr="00BE7065">
              <w:rPr>
                <w:rFonts w:ascii="Century Gothic" w:hAnsi="Century Gothic"/>
                <w:b/>
              </w:rPr>
              <w:t>FECHA</w:t>
            </w:r>
          </w:p>
        </w:tc>
        <w:tc>
          <w:tcPr>
            <w:tcW w:w="3559" w:type="dxa"/>
          </w:tcPr>
          <w:p w:rsidR="00642ED2" w:rsidRPr="00BE7065" w:rsidRDefault="00642ED2" w:rsidP="00B016A9">
            <w:pPr>
              <w:jc w:val="center"/>
              <w:rPr>
                <w:rFonts w:ascii="Century Gothic" w:hAnsi="Century Gothic"/>
                <w:b/>
              </w:rPr>
            </w:pPr>
            <w:r w:rsidRPr="00BE7065">
              <w:rPr>
                <w:rFonts w:ascii="Century Gothic" w:hAnsi="Century Gothic"/>
                <w:b/>
              </w:rPr>
              <w:t>LUGAR</w:t>
            </w:r>
          </w:p>
        </w:tc>
      </w:tr>
      <w:tr w:rsidR="00642ED2" w:rsidRPr="00E851CA" w:rsidTr="00582399">
        <w:tc>
          <w:tcPr>
            <w:tcW w:w="534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4F17B3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693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582399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APERTURA Y </w:t>
            </w:r>
            <w:r w:rsidR="00642ED2">
              <w:rPr>
                <w:rFonts w:ascii="Century Gothic" w:hAnsi="Century Gothic"/>
              </w:rPr>
              <w:t>PUBLICACIÓ</w:t>
            </w:r>
            <w:r w:rsidR="00642ED2" w:rsidRPr="00E851CA">
              <w:rPr>
                <w:rFonts w:ascii="Century Gothic" w:hAnsi="Century Gothic"/>
              </w:rPr>
              <w:t>N DE CONVOCATORIA</w:t>
            </w:r>
            <w:r w:rsidR="00642ED2">
              <w:rPr>
                <w:rFonts w:ascii="Century Gothic" w:hAnsi="Century Gothic"/>
              </w:rPr>
              <w:t>.</w:t>
            </w:r>
          </w:p>
        </w:tc>
        <w:tc>
          <w:tcPr>
            <w:tcW w:w="2268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3828FE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 de Noviembre</w:t>
            </w:r>
            <w:r w:rsidR="00582399">
              <w:rPr>
                <w:rFonts w:ascii="Century Gothic" w:hAnsi="Century Gothic"/>
              </w:rPr>
              <w:t xml:space="preserve"> de 2019</w:t>
            </w:r>
            <w:r w:rsidR="00633583">
              <w:rPr>
                <w:rFonts w:ascii="Century Gothic" w:hAnsi="Century Gothic"/>
              </w:rPr>
              <w:t>.</w:t>
            </w:r>
          </w:p>
        </w:tc>
        <w:tc>
          <w:tcPr>
            <w:tcW w:w="3559" w:type="dxa"/>
          </w:tcPr>
          <w:p w:rsidR="00642ED2" w:rsidRPr="00E851CA" w:rsidRDefault="00BF50D1" w:rsidP="00B016A9">
            <w:pPr>
              <w:jc w:val="both"/>
              <w:rPr>
                <w:rFonts w:ascii="Century Gothic" w:hAnsi="Century Gothic"/>
              </w:rPr>
            </w:pPr>
            <w:hyperlink r:id="rId11" w:history="1">
              <w:r w:rsidR="00642ED2" w:rsidRPr="00E851CA">
                <w:rPr>
                  <w:rStyle w:val="Hipervnculo"/>
                  <w:rFonts w:ascii="Century Gothic" w:hAnsi="Century Gothic"/>
                </w:rPr>
                <w:t>http://www.cundinamarca.gov.co/Home/SecretariasEntidades.gc/idaco/IdacoDespliegue/asservicioalciudadano/cservicioalciuda_convocatorias</w:t>
              </w:r>
            </w:hyperlink>
          </w:p>
        </w:tc>
      </w:tr>
      <w:tr w:rsidR="00642ED2" w:rsidRPr="00E851CA" w:rsidTr="00582399">
        <w:tc>
          <w:tcPr>
            <w:tcW w:w="534" w:type="dxa"/>
          </w:tcPr>
          <w:p w:rsidR="00642ED2" w:rsidRPr="00E851CA" w:rsidRDefault="00FD3A5E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:rsidR="00642ED2" w:rsidRPr="00E851CA" w:rsidRDefault="004F17B3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693" w:type="dxa"/>
          </w:tcPr>
          <w:p w:rsidR="00642ED2" w:rsidRPr="00E851CA" w:rsidRDefault="004F1D7B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RADICACIÓ</w:t>
            </w:r>
            <w:r w:rsidR="00642ED2" w:rsidRPr="00E851CA">
              <w:rPr>
                <w:rFonts w:ascii="Century Gothic" w:hAnsi="Century Gothic"/>
              </w:rPr>
              <w:t>N  DE DOCUMENTOS.</w:t>
            </w:r>
          </w:p>
        </w:tc>
        <w:tc>
          <w:tcPr>
            <w:tcW w:w="2268" w:type="dxa"/>
          </w:tcPr>
          <w:p w:rsidR="00642ED2" w:rsidRPr="00E851CA" w:rsidRDefault="00086C7C" w:rsidP="004F1D7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  de Noviembre al </w:t>
            </w:r>
            <w:r w:rsidR="004F1D7B">
              <w:rPr>
                <w:rFonts w:ascii="Century Gothic" w:hAnsi="Century Gothic"/>
              </w:rPr>
              <w:t>20</w:t>
            </w:r>
            <w:r w:rsidR="003828FE">
              <w:rPr>
                <w:rFonts w:ascii="Century Gothic" w:hAnsi="Century Gothic"/>
              </w:rPr>
              <w:t xml:space="preserve"> de noviembre</w:t>
            </w:r>
            <w:r w:rsidR="00582399">
              <w:rPr>
                <w:rFonts w:ascii="Century Gothic" w:hAnsi="Century Gothic"/>
              </w:rPr>
              <w:t xml:space="preserve"> de 2019</w:t>
            </w:r>
            <w:r w:rsidR="00642ED2" w:rsidRPr="00E851CA">
              <w:rPr>
                <w:rFonts w:ascii="Century Gothic" w:hAnsi="Century Gothic"/>
              </w:rPr>
              <w:t xml:space="preserve"> hasta las 4:00 pm</w:t>
            </w:r>
          </w:p>
        </w:tc>
        <w:tc>
          <w:tcPr>
            <w:tcW w:w="3559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Calle 26 No. 51-53 Piso 3 Torre de Salud, Oficina Instituto Departamental de Acción Comunal de Cundinamarca.</w:t>
            </w:r>
          </w:p>
        </w:tc>
      </w:tr>
      <w:tr w:rsidR="00642ED2" w:rsidRPr="00E851CA" w:rsidTr="00582399">
        <w:tc>
          <w:tcPr>
            <w:tcW w:w="534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4F17B3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693" w:type="dxa"/>
          </w:tcPr>
          <w:p w:rsidR="00642ED2" w:rsidRPr="00E851CA" w:rsidRDefault="004F1D7B" w:rsidP="00B016A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REVISÓ</w:t>
            </w:r>
            <w:r w:rsidR="00642ED2">
              <w:rPr>
                <w:rFonts w:ascii="Century Gothic" w:hAnsi="Century Gothic"/>
              </w:rPr>
              <w:t>N DE DOCUMENTACIÓN POR PARTE DEL IDACO.</w:t>
            </w:r>
          </w:p>
        </w:tc>
        <w:tc>
          <w:tcPr>
            <w:tcW w:w="2268" w:type="dxa"/>
          </w:tcPr>
          <w:p w:rsidR="00582399" w:rsidRDefault="00582399" w:rsidP="00582399">
            <w:pPr>
              <w:jc w:val="both"/>
              <w:rPr>
                <w:rFonts w:ascii="Century Gothic" w:hAnsi="Century Gothic"/>
              </w:rPr>
            </w:pPr>
          </w:p>
          <w:p w:rsidR="00642ED2" w:rsidRPr="00E851CA" w:rsidRDefault="004F1D7B" w:rsidP="005823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  <w:r w:rsidR="00642ED2">
              <w:rPr>
                <w:rFonts w:ascii="Century Gothic" w:hAnsi="Century Gothic"/>
              </w:rPr>
              <w:t xml:space="preserve"> de </w:t>
            </w:r>
            <w:r w:rsidR="003828FE">
              <w:rPr>
                <w:rFonts w:ascii="Century Gothic" w:hAnsi="Century Gothic"/>
              </w:rPr>
              <w:t>noviembre</w:t>
            </w:r>
            <w:r w:rsidR="00582399">
              <w:rPr>
                <w:rFonts w:ascii="Century Gothic" w:hAnsi="Century Gothic"/>
              </w:rPr>
              <w:t xml:space="preserve"> de 2019.</w:t>
            </w:r>
          </w:p>
        </w:tc>
        <w:tc>
          <w:tcPr>
            <w:tcW w:w="3559" w:type="dxa"/>
          </w:tcPr>
          <w:p w:rsidR="00642ED2" w:rsidRPr="00E851CA" w:rsidRDefault="00642ED2" w:rsidP="00B016A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Calle 26 No. 51-53 Piso 3 Torre de Salud, Oficina Instituto Departamental de Acción Comunal de Cundinamarca.</w:t>
            </w:r>
          </w:p>
        </w:tc>
      </w:tr>
      <w:tr w:rsidR="00582399" w:rsidRPr="00E851CA" w:rsidTr="00582399">
        <w:tc>
          <w:tcPr>
            <w:tcW w:w="534" w:type="dxa"/>
          </w:tcPr>
          <w:p w:rsidR="00582399" w:rsidRPr="00E851CA" w:rsidRDefault="00582399" w:rsidP="00582399">
            <w:pPr>
              <w:jc w:val="both"/>
              <w:rPr>
                <w:rFonts w:ascii="Century Gothic" w:hAnsi="Century Gothic"/>
              </w:rPr>
            </w:pPr>
          </w:p>
          <w:p w:rsidR="00582399" w:rsidRPr="00E851CA" w:rsidRDefault="004F17B3" w:rsidP="005823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693" w:type="dxa"/>
          </w:tcPr>
          <w:p w:rsidR="00582399" w:rsidRPr="00E851CA" w:rsidRDefault="00582399" w:rsidP="005823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PUBLICACIÓ</w:t>
            </w:r>
            <w:r w:rsidRPr="00E851CA">
              <w:rPr>
                <w:rFonts w:ascii="Century Gothic" w:hAnsi="Century Gothic"/>
              </w:rPr>
              <w:t xml:space="preserve">N DE PROYECTOS VIABLES </w:t>
            </w:r>
            <w:r>
              <w:rPr>
                <w:rFonts w:ascii="Century Gothic" w:hAnsi="Century Gothic"/>
              </w:rPr>
              <w:t xml:space="preserve"> Y CRONOGRAMA </w:t>
            </w:r>
            <w:r w:rsidRPr="00E851CA">
              <w:rPr>
                <w:rFonts w:ascii="Century Gothic" w:hAnsi="Century Gothic"/>
              </w:rPr>
              <w:t xml:space="preserve">PARA </w:t>
            </w:r>
            <w:r>
              <w:rPr>
                <w:rFonts w:ascii="Century Gothic" w:hAnsi="Century Gothic"/>
              </w:rPr>
              <w:t>VISITA DE VERIFICACIÓN EN CAMPO.</w:t>
            </w:r>
          </w:p>
        </w:tc>
        <w:tc>
          <w:tcPr>
            <w:tcW w:w="2268" w:type="dxa"/>
          </w:tcPr>
          <w:p w:rsidR="00582399" w:rsidRDefault="00582399" w:rsidP="00582399">
            <w:pPr>
              <w:jc w:val="both"/>
              <w:rPr>
                <w:rFonts w:ascii="Century Gothic" w:hAnsi="Century Gothic"/>
              </w:rPr>
            </w:pPr>
          </w:p>
          <w:p w:rsidR="00582399" w:rsidRPr="00E851CA" w:rsidRDefault="004F1D7B" w:rsidP="005823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  <w:r w:rsidR="003828FE">
              <w:rPr>
                <w:rFonts w:ascii="Century Gothic" w:hAnsi="Century Gothic"/>
              </w:rPr>
              <w:t xml:space="preserve"> de noviembre</w:t>
            </w:r>
            <w:r w:rsidR="00582399">
              <w:rPr>
                <w:rFonts w:ascii="Century Gothic" w:hAnsi="Century Gothic"/>
              </w:rPr>
              <w:t xml:space="preserve"> de 2019.</w:t>
            </w:r>
          </w:p>
        </w:tc>
        <w:tc>
          <w:tcPr>
            <w:tcW w:w="3559" w:type="dxa"/>
          </w:tcPr>
          <w:p w:rsidR="00582399" w:rsidRPr="00E851CA" w:rsidRDefault="00BF50D1" w:rsidP="00582399">
            <w:pPr>
              <w:jc w:val="both"/>
              <w:rPr>
                <w:rFonts w:ascii="Century Gothic" w:hAnsi="Century Gothic"/>
              </w:rPr>
            </w:pPr>
            <w:hyperlink r:id="rId12" w:history="1">
              <w:r w:rsidR="00582399" w:rsidRPr="00E851CA">
                <w:rPr>
                  <w:rStyle w:val="Hipervnculo"/>
                  <w:rFonts w:ascii="Century Gothic" w:hAnsi="Century Gothic"/>
                </w:rPr>
                <w:t>http://www.cundinamarca.gov.co/Home/SecretariasEntidades.gc/idaco/IdacoDespliegue/asservicioalciudadano/cservicioalciuda_convocatorias</w:t>
              </w:r>
            </w:hyperlink>
          </w:p>
        </w:tc>
      </w:tr>
      <w:tr w:rsidR="00582399" w:rsidRPr="00E851CA" w:rsidTr="00582399">
        <w:tc>
          <w:tcPr>
            <w:tcW w:w="534" w:type="dxa"/>
          </w:tcPr>
          <w:p w:rsidR="00582399" w:rsidRPr="00E851CA" w:rsidRDefault="004F17B3" w:rsidP="005823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693" w:type="dxa"/>
          </w:tcPr>
          <w:p w:rsidR="00582399" w:rsidRDefault="00582399" w:rsidP="0058239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VISITA A CAMPO POR PARTE DEL IDACO</w:t>
            </w:r>
          </w:p>
          <w:p w:rsidR="005F1473" w:rsidRPr="00E851CA" w:rsidRDefault="005F1473" w:rsidP="00582399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:rsidR="00C9447F" w:rsidRPr="00E851CA" w:rsidRDefault="009D427C" w:rsidP="009D427C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22,</w:t>
            </w:r>
            <w:r w:rsidR="00086C7C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23 y 25 </w:t>
            </w:r>
            <w:r w:rsidR="00086C7C">
              <w:rPr>
                <w:rFonts w:ascii="Century Gothic" w:hAnsi="Century Gothic"/>
              </w:rPr>
              <w:t>de noviembre</w:t>
            </w:r>
            <w:r w:rsidR="00C9447F">
              <w:rPr>
                <w:rFonts w:ascii="Century Gothic" w:hAnsi="Century Gothic"/>
              </w:rPr>
              <w:t xml:space="preserve"> de 2019.</w:t>
            </w:r>
          </w:p>
        </w:tc>
        <w:tc>
          <w:tcPr>
            <w:tcW w:w="3559" w:type="dxa"/>
          </w:tcPr>
          <w:p w:rsidR="00582399" w:rsidRPr="00E851CA" w:rsidRDefault="00582399" w:rsidP="0058239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Departamento de Cundinamarca</w:t>
            </w:r>
          </w:p>
        </w:tc>
      </w:tr>
      <w:tr w:rsidR="00582399" w:rsidRPr="00E851CA" w:rsidTr="00582399">
        <w:tc>
          <w:tcPr>
            <w:tcW w:w="534" w:type="dxa"/>
          </w:tcPr>
          <w:p w:rsidR="00582399" w:rsidRPr="00E851CA" w:rsidRDefault="004F17B3" w:rsidP="00582399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6</w:t>
            </w:r>
          </w:p>
        </w:tc>
        <w:tc>
          <w:tcPr>
            <w:tcW w:w="2693" w:type="dxa"/>
          </w:tcPr>
          <w:p w:rsidR="00582399" w:rsidRPr="00E851CA" w:rsidRDefault="00582399" w:rsidP="00582399">
            <w:pPr>
              <w:jc w:val="both"/>
              <w:rPr>
                <w:rFonts w:ascii="Century Gothic" w:hAnsi="Century Gothic"/>
              </w:rPr>
            </w:pPr>
            <w:r w:rsidRPr="00E851CA">
              <w:rPr>
                <w:rFonts w:ascii="Century Gothic" w:hAnsi="Century Gothic"/>
              </w:rPr>
              <w:t>PUBLICACION CIERRE DE LA CONVOCATORIA Y RESULTADOS DEFINITIVOS</w:t>
            </w:r>
            <w:r>
              <w:rPr>
                <w:rFonts w:ascii="Century Gothic" w:hAnsi="Century Gothic"/>
              </w:rPr>
              <w:t>.</w:t>
            </w:r>
            <w:r w:rsidRPr="00E851CA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268" w:type="dxa"/>
          </w:tcPr>
          <w:p w:rsidR="00582399" w:rsidRPr="00E851CA" w:rsidRDefault="00633583" w:rsidP="00C9447F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26</w:t>
            </w:r>
            <w:r w:rsidR="00086C7C">
              <w:rPr>
                <w:rFonts w:ascii="Century Gothic" w:hAnsi="Century Gothic"/>
              </w:rPr>
              <w:t xml:space="preserve"> de noviembre</w:t>
            </w:r>
            <w:r w:rsidR="00C9447F">
              <w:rPr>
                <w:rFonts w:ascii="Century Gothic" w:hAnsi="Century Gothic"/>
              </w:rPr>
              <w:t xml:space="preserve"> de 2019.</w:t>
            </w:r>
          </w:p>
        </w:tc>
        <w:tc>
          <w:tcPr>
            <w:tcW w:w="3559" w:type="dxa"/>
          </w:tcPr>
          <w:p w:rsidR="00582399" w:rsidRPr="00E851CA" w:rsidRDefault="00BF50D1" w:rsidP="00582399">
            <w:pPr>
              <w:jc w:val="both"/>
              <w:rPr>
                <w:rFonts w:ascii="Century Gothic" w:hAnsi="Century Gothic"/>
              </w:rPr>
            </w:pPr>
            <w:hyperlink r:id="rId13" w:history="1">
              <w:r w:rsidR="00582399" w:rsidRPr="00E851CA">
                <w:rPr>
                  <w:rStyle w:val="Hipervnculo"/>
                  <w:rFonts w:ascii="Century Gothic" w:hAnsi="Century Gothic"/>
                </w:rPr>
                <w:t>http://www.cundinamarca.gov.co/Home/SecretariasEntidades.gc/idaco/IdacoDespliegue/asservicioalciudadano/cservicioalciuda_convocatorias</w:t>
              </w:r>
            </w:hyperlink>
          </w:p>
        </w:tc>
      </w:tr>
    </w:tbl>
    <w:p w:rsidR="00642ED2" w:rsidRDefault="00642ED2" w:rsidP="00642ED2">
      <w:pPr>
        <w:jc w:val="both"/>
        <w:rPr>
          <w:rFonts w:ascii="Century Gothic" w:hAnsi="Century Gothic" w:cs="Arial"/>
          <w:b/>
        </w:rPr>
      </w:pPr>
    </w:p>
    <w:p w:rsidR="00642ED2" w:rsidRDefault="00642ED2" w:rsidP="00642ED2">
      <w:pPr>
        <w:jc w:val="both"/>
        <w:rPr>
          <w:rFonts w:ascii="Century Gothic" w:hAnsi="Century Gothic" w:cs="Arial"/>
          <w:b/>
        </w:rPr>
      </w:pPr>
    </w:p>
    <w:tbl>
      <w:tblPr>
        <w:tblW w:w="90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95"/>
        <w:gridCol w:w="4505"/>
      </w:tblGrid>
      <w:tr w:rsidR="00FC095B" w:rsidRPr="006E292D" w:rsidTr="00D10EAA">
        <w:tc>
          <w:tcPr>
            <w:tcW w:w="4495" w:type="dxa"/>
          </w:tcPr>
          <w:p w:rsidR="00FC095B" w:rsidRDefault="00FC095B" w:rsidP="00D10EA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095B" w:rsidRDefault="00FC095B" w:rsidP="00D10EA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095B" w:rsidRDefault="00FC095B" w:rsidP="00D10EA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095B" w:rsidRDefault="00FC095B" w:rsidP="00D10EA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</w:p>
          <w:p w:rsidR="00FC095B" w:rsidRPr="00CA3FA0" w:rsidRDefault="00FC095B" w:rsidP="00D10EAA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Ing. Julio Roberto Salazar Perdomo </w:t>
            </w:r>
          </w:p>
          <w:p w:rsidR="00FC095B" w:rsidRPr="00CA3FA0" w:rsidRDefault="00FC095B" w:rsidP="00D10EAA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CA3FA0">
              <w:rPr>
                <w:rFonts w:ascii="Century Gothic" w:hAnsi="Century Gothic" w:cs="Arial"/>
                <w:sz w:val="22"/>
                <w:szCs w:val="22"/>
              </w:rPr>
              <w:t>Gerente General</w:t>
            </w:r>
            <w:r>
              <w:rPr>
                <w:rFonts w:ascii="Century Gothic" w:hAnsi="Century Gothic" w:cs="Arial"/>
                <w:sz w:val="22"/>
                <w:szCs w:val="22"/>
              </w:rPr>
              <w:t xml:space="preserve"> (E)</w:t>
            </w:r>
          </w:p>
          <w:p w:rsidR="00FC095B" w:rsidRPr="00CA3FA0" w:rsidRDefault="00FC095B" w:rsidP="00D10EAA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  <w:tc>
          <w:tcPr>
            <w:tcW w:w="4505" w:type="dxa"/>
          </w:tcPr>
          <w:p w:rsidR="00FC095B" w:rsidRDefault="00FC095B" w:rsidP="00D10EAA">
            <w:pPr>
              <w:jc w:val="center"/>
              <w:rPr>
                <w:rFonts w:ascii="Century Gothic" w:hAnsi="Century Gothic" w:cs="Arial"/>
              </w:rPr>
            </w:pPr>
          </w:p>
          <w:p w:rsidR="00FC095B" w:rsidRDefault="00FC095B" w:rsidP="00D10EAA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FC095B" w:rsidRDefault="00FC095B" w:rsidP="00D10EAA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FC095B" w:rsidRPr="005A2611" w:rsidRDefault="00FC095B" w:rsidP="00D10EAA">
            <w:pPr>
              <w:jc w:val="center"/>
              <w:rPr>
                <w:rFonts w:ascii="Century Gothic" w:hAnsi="Century Gothic" w:cs="Arial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 w:cs="Arial"/>
                <w:b/>
              </w:rPr>
              <w:t>ORIGINAL FIRMADO</w:t>
            </w:r>
          </w:p>
        </w:tc>
      </w:tr>
    </w:tbl>
    <w:p w:rsidR="00930FD4" w:rsidRPr="00086C7C" w:rsidRDefault="00930FD4" w:rsidP="00086C7C">
      <w:pPr>
        <w:tabs>
          <w:tab w:val="center" w:pos="4420"/>
        </w:tabs>
        <w:spacing w:line="276" w:lineRule="auto"/>
        <w:rPr>
          <w:rFonts w:ascii="Century Gothic" w:eastAsiaTheme="minorHAnsi" w:hAnsi="Century Gothic" w:cs="Century Gothic"/>
          <w:b/>
          <w:color w:val="000000"/>
          <w:lang w:eastAsia="en-US"/>
        </w:rPr>
      </w:pPr>
    </w:p>
    <w:p w:rsidR="00930FD4" w:rsidRPr="00930FD4" w:rsidRDefault="00930FD4" w:rsidP="00930FD4">
      <w:pPr>
        <w:tabs>
          <w:tab w:val="center" w:pos="4420"/>
        </w:tabs>
        <w:spacing w:line="276" w:lineRule="auto"/>
        <w:jc w:val="center"/>
        <w:rPr>
          <w:rFonts w:ascii="Century Gothic" w:eastAsiaTheme="minorHAnsi" w:hAnsi="Century Gothic" w:cs="Century Gothic"/>
          <w:b/>
          <w:color w:val="000000"/>
          <w:lang w:val="es-CO" w:eastAsia="en-US"/>
        </w:rPr>
      </w:pPr>
    </w:p>
    <w:p w:rsidR="00642ED2" w:rsidRPr="00BE7065" w:rsidRDefault="00642ED2" w:rsidP="00642ED2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</w:pPr>
      <w:r w:rsidRPr="00BE7065"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Revisó</w:t>
      </w:r>
      <w:r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 xml:space="preserve"> y aprobó</w:t>
      </w:r>
      <w:r w:rsidRPr="00BE7065"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:</w:t>
      </w:r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José Antonio Ontibon Cruz - Asesor de Gerencia.</w:t>
      </w:r>
    </w:p>
    <w:p w:rsidR="00642ED2" w:rsidRPr="00BE7065" w:rsidRDefault="00642ED2" w:rsidP="00642ED2">
      <w:pPr>
        <w:autoSpaceDE w:val="0"/>
        <w:autoSpaceDN w:val="0"/>
        <w:adjustRightInd w:val="0"/>
        <w:jc w:val="both"/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</w:pPr>
      <w:r w:rsidRPr="00BE7065">
        <w:rPr>
          <w:rFonts w:ascii="Century Gothic" w:eastAsiaTheme="minorHAnsi" w:hAnsi="Century Gothic" w:cs="Century Gothic"/>
          <w:b/>
          <w:color w:val="000000"/>
          <w:sz w:val="16"/>
          <w:szCs w:val="16"/>
          <w:lang w:val="es-CO" w:eastAsia="en-US"/>
        </w:rPr>
        <w:t>Elaboró:</w:t>
      </w:r>
      <w:r w:rsidR="00CA1BE8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Yeison Efrén Sánchez Pastor, Viviana Prieto Prada, Carlos Tejada </w:t>
      </w:r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- Contratista</w:t>
      </w:r>
      <w:r w:rsidR="00CA1BE8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s</w:t>
      </w:r>
      <w:r w:rsidRPr="00BE7065"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 xml:space="preserve"> IDACO</w:t>
      </w:r>
      <w:r>
        <w:rPr>
          <w:rFonts w:ascii="Century Gothic" w:eastAsiaTheme="minorHAnsi" w:hAnsi="Century Gothic" w:cs="Century Gothic"/>
          <w:color w:val="000000"/>
          <w:sz w:val="16"/>
          <w:szCs w:val="16"/>
          <w:lang w:val="es-CO" w:eastAsia="en-US"/>
        </w:rPr>
        <w:t>.</w:t>
      </w:r>
    </w:p>
    <w:p w:rsidR="00642ED2" w:rsidRPr="00E851CA" w:rsidRDefault="00642ED2" w:rsidP="00642ED2">
      <w:pPr>
        <w:jc w:val="both"/>
        <w:rPr>
          <w:rFonts w:ascii="Century Gothic" w:hAnsi="Century Gothic" w:cs="Arial"/>
          <w:b/>
          <w:lang w:val="es-MX"/>
        </w:rPr>
      </w:pPr>
    </w:p>
    <w:p w:rsidR="00196623" w:rsidRPr="00642ED2" w:rsidRDefault="00196623" w:rsidP="007D66E1">
      <w:pPr>
        <w:rPr>
          <w:rFonts w:ascii="Arial" w:hAnsi="Arial" w:cs="Arial"/>
          <w:sz w:val="24"/>
          <w:szCs w:val="24"/>
          <w:lang w:val="es-MX"/>
        </w:rPr>
      </w:pPr>
    </w:p>
    <w:sectPr w:rsidR="00196623" w:rsidRPr="00642ED2" w:rsidSect="007E6BF7">
      <w:headerReference w:type="default" r:id="rId14"/>
      <w:footerReference w:type="default" r:id="rId15"/>
      <w:pgSz w:w="12242" w:h="15842" w:code="123"/>
      <w:pgMar w:top="2126" w:right="1701" w:bottom="1701" w:left="1701" w:header="720" w:footer="9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0D1" w:rsidRDefault="00BF50D1" w:rsidP="00C820B0">
      <w:r>
        <w:separator/>
      </w:r>
    </w:p>
  </w:endnote>
  <w:endnote w:type="continuationSeparator" w:id="0">
    <w:p w:rsidR="00BF50D1" w:rsidRDefault="00BF50D1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Narrow Book">
    <w:altName w:val="Times New Roman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F7" w:rsidRDefault="00A80A72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n-US"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-740754</wp:posOffset>
          </wp:positionH>
          <wp:positionV relativeFrom="paragraph">
            <wp:posOffset>-478790</wp:posOffset>
          </wp:positionV>
          <wp:extent cx="7205500" cy="115760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5500" cy="1157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F50D1">
      <w:rPr>
        <w:noProof/>
        <w:lang w:val="es-CO" w:eastAsia="es-C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296.9pt;margin-top:-21.5pt;width:270pt;height:4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" filled="f" stroked="f">
          <v:textbox>
            <w:txbxContent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Calle 26 #51-53 Bogotá D.C.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sz w:val="18"/>
                    <w:szCs w:val="18"/>
                  </w:rPr>
                  <w:t>Sede Administrativa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 xml:space="preserve"> - Torre de Salud Piso 3</w:t>
                </w: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.</w:t>
                </w:r>
              </w:p>
              <w:p w:rsidR="00F438F7" w:rsidRPr="000618CF" w:rsidRDefault="00F438F7" w:rsidP="000618CF">
                <w:pPr>
                  <w:pStyle w:val="Encabezado"/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</w:pPr>
                <w:r w:rsidRPr="000618CF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Código Post</w:t>
                </w:r>
                <w:r w:rsidR="00173FF8">
                  <w:rPr>
                    <w:rFonts w:ascii="Gotham Narrow Book" w:hAnsi="Gotham Narrow Book"/>
                    <w:color w:val="595959" w:themeColor="text1" w:themeTint="A6"/>
                    <w:sz w:val="18"/>
                    <w:szCs w:val="18"/>
                  </w:rPr>
                  <w:t>al: 111321 – Teléfono: 749 1001</w:t>
                </w:r>
              </w:p>
              <w:p w:rsidR="00F438F7" w:rsidRPr="000618CF" w:rsidRDefault="00F438F7" w:rsidP="000618CF">
                <w:pPr>
                  <w:spacing w:line="120" w:lineRule="auto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0D1" w:rsidRDefault="00BF50D1" w:rsidP="00C820B0">
      <w:r>
        <w:separator/>
      </w:r>
    </w:p>
  </w:footnote>
  <w:footnote w:type="continuationSeparator" w:id="0">
    <w:p w:rsidR="00BF50D1" w:rsidRDefault="00BF50D1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8F7" w:rsidRDefault="00F438F7" w:rsidP="008B402B">
    <w:pPr>
      <w:pStyle w:val="Encabezado"/>
      <w:ind w:left="708" w:firstLine="4956"/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-872152</wp:posOffset>
          </wp:positionH>
          <wp:positionV relativeFrom="paragraph">
            <wp:posOffset>-439271</wp:posOffset>
          </wp:positionV>
          <wp:extent cx="7595716" cy="8787202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5716" cy="8787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1BA4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86C7C"/>
    <w:rsid w:val="00090EE6"/>
    <w:rsid w:val="00091647"/>
    <w:rsid w:val="00095E64"/>
    <w:rsid w:val="000A5AB6"/>
    <w:rsid w:val="000A701C"/>
    <w:rsid w:val="000B6802"/>
    <w:rsid w:val="000C1079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3FF8"/>
    <w:rsid w:val="001758B3"/>
    <w:rsid w:val="00175973"/>
    <w:rsid w:val="00175CC4"/>
    <w:rsid w:val="00177337"/>
    <w:rsid w:val="00180042"/>
    <w:rsid w:val="001813EF"/>
    <w:rsid w:val="00184DAD"/>
    <w:rsid w:val="00190020"/>
    <w:rsid w:val="00193846"/>
    <w:rsid w:val="00196623"/>
    <w:rsid w:val="001A43AE"/>
    <w:rsid w:val="001B33EC"/>
    <w:rsid w:val="001B46F5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540D"/>
    <w:rsid w:val="00216A46"/>
    <w:rsid w:val="00220584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485A"/>
    <w:rsid w:val="00255F62"/>
    <w:rsid w:val="0027102E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1F47"/>
    <w:rsid w:val="002D412F"/>
    <w:rsid w:val="002E36AF"/>
    <w:rsid w:val="002E48E0"/>
    <w:rsid w:val="002E5939"/>
    <w:rsid w:val="002E6D52"/>
    <w:rsid w:val="002F0039"/>
    <w:rsid w:val="002F3845"/>
    <w:rsid w:val="00301EE6"/>
    <w:rsid w:val="003258BB"/>
    <w:rsid w:val="00332618"/>
    <w:rsid w:val="003411B0"/>
    <w:rsid w:val="00341365"/>
    <w:rsid w:val="00341507"/>
    <w:rsid w:val="00346BCD"/>
    <w:rsid w:val="003501FB"/>
    <w:rsid w:val="003537A3"/>
    <w:rsid w:val="0035653A"/>
    <w:rsid w:val="00360B93"/>
    <w:rsid w:val="00364089"/>
    <w:rsid w:val="00366349"/>
    <w:rsid w:val="003828FE"/>
    <w:rsid w:val="003B6019"/>
    <w:rsid w:val="003B7C3A"/>
    <w:rsid w:val="003C64A6"/>
    <w:rsid w:val="003D1EDC"/>
    <w:rsid w:val="003E05E6"/>
    <w:rsid w:val="003E5E58"/>
    <w:rsid w:val="003F501C"/>
    <w:rsid w:val="00407312"/>
    <w:rsid w:val="00407677"/>
    <w:rsid w:val="00415D4A"/>
    <w:rsid w:val="00417A29"/>
    <w:rsid w:val="00421957"/>
    <w:rsid w:val="00422AF9"/>
    <w:rsid w:val="00427104"/>
    <w:rsid w:val="004703D7"/>
    <w:rsid w:val="00470EAE"/>
    <w:rsid w:val="0047437F"/>
    <w:rsid w:val="00474D82"/>
    <w:rsid w:val="0047715F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17B3"/>
    <w:rsid w:val="004F1D7B"/>
    <w:rsid w:val="004F5501"/>
    <w:rsid w:val="00500125"/>
    <w:rsid w:val="005020A0"/>
    <w:rsid w:val="00505852"/>
    <w:rsid w:val="00512095"/>
    <w:rsid w:val="00512681"/>
    <w:rsid w:val="00517E13"/>
    <w:rsid w:val="00527A34"/>
    <w:rsid w:val="00532FFF"/>
    <w:rsid w:val="005347CF"/>
    <w:rsid w:val="005350E1"/>
    <w:rsid w:val="005416A8"/>
    <w:rsid w:val="005513CA"/>
    <w:rsid w:val="0055639F"/>
    <w:rsid w:val="00571ADB"/>
    <w:rsid w:val="00571ED9"/>
    <w:rsid w:val="00575EA1"/>
    <w:rsid w:val="00582399"/>
    <w:rsid w:val="005875DD"/>
    <w:rsid w:val="005B0A7E"/>
    <w:rsid w:val="005B15DE"/>
    <w:rsid w:val="005B37A0"/>
    <w:rsid w:val="005D7341"/>
    <w:rsid w:val="005E2F3D"/>
    <w:rsid w:val="005E7C52"/>
    <w:rsid w:val="005F0BE8"/>
    <w:rsid w:val="005F1473"/>
    <w:rsid w:val="005F241E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3583"/>
    <w:rsid w:val="00634383"/>
    <w:rsid w:val="00636994"/>
    <w:rsid w:val="0064233E"/>
    <w:rsid w:val="00642943"/>
    <w:rsid w:val="00642CF1"/>
    <w:rsid w:val="00642ED2"/>
    <w:rsid w:val="00644A4A"/>
    <w:rsid w:val="00662BA3"/>
    <w:rsid w:val="00662EFC"/>
    <w:rsid w:val="00664658"/>
    <w:rsid w:val="006649B9"/>
    <w:rsid w:val="00680351"/>
    <w:rsid w:val="00690578"/>
    <w:rsid w:val="00694767"/>
    <w:rsid w:val="00696D3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02FB9"/>
    <w:rsid w:val="00715BF8"/>
    <w:rsid w:val="00721F85"/>
    <w:rsid w:val="00727F93"/>
    <w:rsid w:val="00730FA7"/>
    <w:rsid w:val="007329C9"/>
    <w:rsid w:val="0073513D"/>
    <w:rsid w:val="00741F83"/>
    <w:rsid w:val="00757BBD"/>
    <w:rsid w:val="00764853"/>
    <w:rsid w:val="00765597"/>
    <w:rsid w:val="00767CA1"/>
    <w:rsid w:val="00776694"/>
    <w:rsid w:val="00782A67"/>
    <w:rsid w:val="00783E35"/>
    <w:rsid w:val="00790386"/>
    <w:rsid w:val="007A1D83"/>
    <w:rsid w:val="007A53A0"/>
    <w:rsid w:val="007B41B6"/>
    <w:rsid w:val="007B5462"/>
    <w:rsid w:val="007C576C"/>
    <w:rsid w:val="007D2FEA"/>
    <w:rsid w:val="007D5C26"/>
    <w:rsid w:val="007D66E1"/>
    <w:rsid w:val="007E175C"/>
    <w:rsid w:val="007E20A4"/>
    <w:rsid w:val="007E5C1A"/>
    <w:rsid w:val="007E6BF7"/>
    <w:rsid w:val="007F002C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803BA"/>
    <w:rsid w:val="00892E0F"/>
    <w:rsid w:val="0089688C"/>
    <w:rsid w:val="008A46C7"/>
    <w:rsid w:val="008A52CE"/>
    <w:rsid w:val="008B12B6"/>
    <w:rsid w:val="008B402B"/>
    <w:rsid w:val="008B70CD"/>
    <w:rsid w:val="008C00BE"/>
    <w:rsid w:val="008C2826"/>
    <w:rsid w:val="008C51CE"/>
    <w:rsid w:val="008C719C"/>
    <w:rsid w:val="008D4DB5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0FD4"/>
    <w:rsid w:val="0093163C"/>
    <w:rsid w:val="00934768"/>
    <w:rsid w:val="00946AC6"/>
    <w:rsid w:val="009479B4"/>
    <w:rsid w:val="0096061E"/>
    <w:rsid w:val="00972C2E"/>
    <w:rsid w:val="00983B20"/>
    <w:rsid w:val="009958E2"/>
    <w:rsid w:val="009A1584"/>
    <w:rsid w:val="009A4D63"/>
    <w:rsid w:val="009B05B0"/>
    <w:rsid w:val="009C0C82"/>
    <w:rsid w:val="009D2E43"/>
    <w:rsid w:val="009D2EAB"/>
    <w:rsid w:val="009D427C"/>
    <w:rsid w:val="009D6437"/>
    <w:rsid w:val="009F57A5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1D47"/>
    <w:rsid w:val="00A56ECC"/>
    <w:rsid w:val="00A57CA4"/>
    <w:rsid w:val="00A7183A"/>
    <w:rsid w:val="00A74F32"/>
    <w:rsid w:val="00A76AAF"/>
    <w:rsid w:val="00A80A72"/>
    <w:rsid w:val="00A85E6E"/>
    <w:rsid w:val="00A869D3"/>
    <w:rsid w:val="00A93804"/>
    <w:rsid w:val="00A94378"/>
    <w:rsid w:val="00A95DE0"/>
    <w:rsid w:val="00AA0F36"/>
    <w:rsid w:val="00AA666A"/>
    <w:rsid w:val="00AC0505"/>
    <w:rsid w:val="00AC38E4"/>
    <w:rsid w:val="00AC6587"/>
    <w:rsid w:val="00AD4C6A"/>
    <w:rsid w:val="00AD7F0F"/>
    <w:rsid w:val="00AE4058"/>
    <w:rsid w:val="00AF6180"/>
    <w:rsid w:val="00B04F7C"/>
    <w:rsid w:val="00B063D3"/>
    <w:rsid w:val="00B07737"/>
    <w:rsid w:val="00B11259"/>
    <w:rsid w:val="00B11BA2"/>
    <w:rsid w:val="00B11D8C"/>
    <w:rsid w:val="00B2103B"/>
    <w:rsid w:val="00B25F39"/>
    <w:rsid w:val="00B26DBD"/>
    <w:rsid w:val="00B27F80"/>
    <w:rsid w:val="00B3187A"/>
    <w:rsid w:val="00B31FA8"/>
    <w:rsid w:val="00B326BC"/>
    <w:rsid w:val="00B5076D"/>
    <w:rsid w:val="00B50D4E"/>
    <w:rsid w:val="00B534A1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4CF5"/>
    <w:rsid w:val="00BC22FA"/>
    <w:rsid w:val="00BC3EF5"/>
    <w:rsid w:val="00BD6167"/>
    <w:rsid w:val="00BD6DB7"/>
    <w:rsid w:val="00BE287C"/>
    <w:rsid w:val="00BE513A"/>
    <w:rsid w:val="00BE5761"/>
    <w:rsid w:val="00BF2130"/>
    <w:rsid w:val="00BF4F05"/>
    <w:rsid w:val="00BF50D1"/>
    <w:rsid w:val="00C0179A"/>
    <w:rsid w:val="00C02A84"/>
    <w:rsid w:val="00C2238C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877C5"/>
    <w:rsid w:val="00C90C64"/>
    <w:rsid w:val="00C9447F"/>
    <w:rsid w:val="00C94C2E"/>
    <w:rsid w:val="00CA1BE8"/>
    <w:rsid w:val="00CB62BE"/>
    <w:rsid w:val="00CC0E2B"/>
    <w:rsid w:val="00CC6EB2"/>
    <w:rsid w:val="00CE32A7"/>
    <w:rsid w:val="00CE407C"/>
    <w:rsid w:val="00CE6424"/>
    <w:rsid w:val="00CF0800"/>
    <w:rsid w:val="00CF2EFB"/>
    <w:rsid w:val="00CF5CC8"/>
    <w:rsid w:val="00D00876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66F8F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E55ED"/>
    <w:rsid w:val="00DE5FFB"/>
    <w:rsid w:val="00DF509C"/>
    <w:rsid w:val="00E00455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2125"/>
    <w:rsid w:val="00E4689D"/>
    <w:rsid w:val="00E5158D"/>
    <w:rsid w:val="00E5408D"/>
    <w:rsid w:val="00E61716"/>
    <w:rsid w:val="00E6179D"/>
    <w:rsid w:val="00E63561"/>
    <w:rsid w:val="00E658F7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1C58"/>
    <w:rsid w:val="00EB7225"/>
    <w:rsid w:val="00EC7311"/>
    <w:rsid w:val="00ED60E2"/>
    <w:rsid w:val="00EE0C7E"/>
    <w:rsid w:val="00EE4A11"/>
    <w:rsid w:val="00F0084A"/>
    <w:rsid w:val="00F123D1"/>
    <w:rsid w:val="00F20A3D"/>
    <w:rsid w:val="00F2485E"/>
    <w:rsid w:val="00F303BE"/>
    <w:rsid w:val="00F30A40"/>
    <w:rsid w:val="00F35B94"/>
    <w:rsid w:val="00F42F7E"/>
    <w:rsid w:val="00F438F7"/>
    <w:rsid w:val="00F44372"/>
    <w:rsid w:val="00F445B3"/>
    <w:rsid w:val="00F453D9"/>
    <w:rsid w:val="00F54599"/>
    <w:rsid w:val="00F714F0"/>
    <w:rsid w:val="00F7338E"/>
    <w:rsid w:val="00F76342"/>
    <w:rsid w:val="00F77D66"/>
    <w:rsid w:val="00F809C9"/>
    <w:rsid w:val="00F905DC"/>
    <w:rsid w:val="00FA6530"/>
    <w:rsid w:val="00FB2537"/>
    <w:rsid w:val="00FB2B93"/>
    <w:rsid w:val="00FC095B"/>
    <w:rsid w:val="00FC0A63"/>
    <w:rsid w:val="00FC34FE"/>
    <w:rsid w:val="00FC4F32"/>
    <w:rsid w:val="00FC69B7"/>
    <w:rsid w:val="00FD2F1A"/>
    <w:rsid w:val="00FD3A5E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18E0E1B"/>
  <w15:docId w15:val="{74A0C0FC-FAC2-43D6-AFDF-4681F927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173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color w:val="000000"/>
      <w:lang w:val="es-ES_tradnl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rsid w:val="00173FF8"/>
    <w:rPr>
      <w:rFonts w:ascii="Courier New" w:eastAsia="Calibri" w:hAnsi="Courier New" w:cs="Courier New"/>
      <w:color w:val="000000"/>
      <w:sz w:val="20"/>
      <w:szCs w:val="20"/>
      <w:lang w:val="es-ES_tradnl" w:eastAsia="ar-SA"/>
    </w:rPr>
  </w:style>
  <w:style w:type="table" w:styleId="Tablaconcuadrcula">
    <w:name w:val="Table Grid"/>
    <w:basedOn w:val="Tablanormal"/>
    <w:uiPriority w:val="59"/>
    <w:rsid w:val="00B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dinamarca.gov.co/wps/portal/idaco" TargetMode="External"/><Relationship Id="rId13" Type="http://schemas.openxmlformats.org/officeDocument/2006/relationships/hyperlink" Target="http://www.cundinamarca.gov.co/Home/SecretariasEntidades.gc/idaco/IdacoDespliegue/asservicioalciudadano/cservicioalciuda_convocatori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undinamarca.gov.co/Home/SecretariasEntidades.gc/idaco/IdacoDespliegue/asservicioalciudadano/cservicioalciuda_convocatoria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ndinamarca.gov.co/Home/SecretariasEntidades.gc/idaco/IdacoDespliegue/asservicioalciudadano/cservicioalciuda_convocatoria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undinamarca.gov.co/wps/portal/Home/SecretariasEntidades.gc/idaco/IdacoDespliegue/asservicioalciudadano/cservicioalciuda_convoca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ndinamarca.gov.co/wps/portal/idaco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341EF-FC20-437E-B164-8959AD10F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USUARIO</cp:lastModifiedBy>
  <cp:revision>5</cp:revision>
  <cp:lastPrinted>2019-11-14T16:38:00Z</cp:lastPrinted>
  <dcterms:created xsi:type="dcterms:W3CDTF">2019-11-13T21:57:00Z</dcterms:created>
  <dcterms:modified xsi:type="dcterms:W3CDTF">2019-11-14T22:50:00Z</dcterms:modified>
</cp:coreProperties>
</file>