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7EAF" w14:textId="77777777" w:rsidR="00260634" w:rsidRPr="00826231" w:rsidRDefault="00260634" w:rsidP="00B41523">
      <w:pPr>
        <w:jc w:val="both"/>
        <w:rPr>
          <w:rFonts w:ascii="Arial" w:hAnsi="Arial" w:cs="Arial"/>
          <w:sz w:val="24"/>
          <w:szCs w:val="24"/>
        </w:rPr>
      </w:pPr>
    </w:p>
    <w:p w14:paraId="2373CF26" w14:textId="77777777" w:rsidR="001D1F26" w:rsidRPr="00826231" w:rsidRDefault="001D1F26" w:rsidP="00B41523">
      <w:pPr>
        <w:jc w:val="both"/>
        <w:rPr>
          <w:rFonts w:ascii="Arial" w:hAnsi="Arial" w:cs="Arial"/>
          <w:sz w:val="24"/>
          <w:szCs w:val="24"/>
        </w:rPr>
      </w:pPr>
    </w:p>
    <w:p w14:paraId="2CDEBAE6" w14:textId="77777777" w:rsidR="001D1F26" w:rsidRPr="00826231" w:rsidRDefault="001D1F26" w:rsidP="00B41523">
      <w:pPr>
        <w:jc w:val="both"/>
        <w:rPr>
          <w:rFonts w:ascii="Arial" w:hAnsi="Arial" w:cs="Arial"/>
          <w:sz w:val="24"/>
          <w:szCs w:val="24"/>
        </w:rPr>
      </w:pPr>
    </w:p>
    <w:p w14:paraId="77B4D814" w14:textId="77777777" w:rsidR="001D1F26" w:rsidRPr="00826231" w:rsidRDefault="001D1F26" w:rsidP="00B41523">
      <w:pPr>
        <w:jc w:val="both"/>
        <w:rPr>
          <w:rFonts w:ascii="Arial" w:hAnsi="Arial" w:cs="Arial"/>
          <w:sz w:val="24"/>
          <w:szCs w:val="24"/>
        </w:rPr>
      </w:pPr>
    </w:p>
    <w:p w14:paraId="6FD25EE4" w14:textId="77777777" w:rsidR="007B0CF2" w:rsidRPr="00826231" w:rsidRDefault="007B0CF2" w:rsidP="00B41523">
      <w:pPr>
        <w:jc w:val="both"/>
        <w:rPr>
          <w:rFonts w:ascii="Arial" w:hAnsi="Arial" w:cs="Arial"/>
          <w:sz w:val="24"/>
          <w:szCs w:val="24"/>
        </w:rPr>
      </w:pPr>
      <w:r w:rsidRPr="00826231">
        <w:rPr>
          <w:rFonts w:ascii="Arial" w:hAnsi="Arial" w:cs="Arial"/>
          <w:noProof/>
          <w:sz w:val="24"/>
          <w:szCs w:val="24"/>
          <w:lang w:eastAsia="es-CO"/>
        </w:rPr>
        <w:tab/>
      </w:r>
    </w:p>
    <w:p w14:paraId="748F32C2" w14:textId="77777777" w:rsidR="00563655" w:rsidRPr="00826231" w:rsidRDefault="00563655" w:rsidP="00B41523">
      <w:pPr>
        <w:jc w:val="both"/>
        <w:rPr>
          <w:rFonts w:ascii="Arial" w:hAnsi="Arial" w:cs="Arial"/>
          <w:b/>
          <w:sz w:val="24"/>
          <w:szCs w:val="24"/>
        </w:rPr>
      </w:pPr>
      <w:r w:rsidRPr="00826231">
        <w:rPr>
          <w:rFonts w:ascii="Arial" w:hAnsi="Arial" w:cs="Arial"/>
          <w:b/>
          <w:sz w:val="24"/>
          <w:szCs w:val="24"/>
        </w:rPr>
        <w:t>COMPONENTE ENVEJECIMIENTO  Y VEJEZ. LINEAMIENTOS 2021</w:t>
      </w:r>
    </w:p>
    <w:p w14:paraId="349B25E7" w14:textId="77777777" w:rsidR="00563655" w:rsidRPr="00826231" w:rsidRDefault="00563655" w:rsidP="00B41523">
      <w:pPr>
        <w:jc w:val="both"/>
        <w:rPr>
          <w:rFonts w:ascii="Arial" w:hAnsi="Arial" w:cs="Arial"/>
          <w:b/>
          <w:sz w:val="24"/>
          <w:szCs w:val="24"/>
        </w:rPr>
      </w:pPr>
    </w:p>
    <w:p w14:paraId="3F09D846" w14:textId="77777777" w:rsidR="00563655" w:rsidRPr="00826231" w:rsidRDefault="00563655" w:rsidP="00B41523">
      <w:pPr>
        <w:jc w:val="both"/>
        <w:rPr>
          <w:rFonts w:ascii="Arial" w:hAnsi="Arial" w:cs="Arial"/>
          <w:b/>
          <w:sz w:val="24"/>
          <w:szCs w:val="24"/>
        </w:rPr>
      </w:pPr>
      <w:r w:rsidRPr="00826231">
        <w:rPr>
          <w:rFonts w:ascii="Arial" w:hAnsi="Arial" w:cs="Arial"/>
          <w:b/>
          <w:sz w:val="24"/>
          <w:szCs w:val="24"/>
        </w:rPr>
        <w:t>INTRODUCCIÓN</w:t>
      </w:r>
    </w:p>
    <w:p w14:paraId="6C1AA526" w14:textId="77777777" w:rsidR="00B41523" w:rsidRDefault="00090609" w:rsidP="00B41523">
      <w:pPr>
        <w:jc w:val="both"/>
        <w:rPr>
          <w:rFonts w:ascii="Arial" w:hAnsi="Arial" w:cs="Arial"/>
          <w:color w:val="212121"/>
          <w:sz w:val="24"/>
          <w:szCs w:val="24"/>
        </w:rPr>
      </w:pPr>
      <w:r w:rsidRPr="00826231">
        <w:rPr>
          <w:rFonts w:ascii="Arial" w:hAnsi="Arial" w:cs="Arial"/>
          <w:color w:val="212121"/>
          <w:sz w:val="24"/>
          <w:szCs w:val="24"/>
        </w:rPr>
        <w:t>La población mayor cundinamarquesa es prioridad en el plan de desarrollo 2020 – 2023 “Cundinamarca región que progresa”, línea estratégica. Más bienestar. Programa. Toda una vida contigo. Objetivo: Garantizar el desarrollo integral y la vida digna de la población desde el momento nacer hasta la vejez. Subprograma. Experiencia y sabiduría: Brindar oportunidades a los adultos mayores para que tengan una vida digna y saludable, reconociendo la trascendencia de la corresponsabilidad individual, familiar y social en este proceso. Meta de resultado. Implementar la política pública de envejecimiento y vejez de Cundinamarca. Meta de producto 140: Implementar en los 116 municipios los criterios de atención integral en los centros de bienestar del anciano.</w:t>
      </w:r>
    </w:p>
    <w:p w14:paraId="639B3D04" w14:textId="7FBBAE93" w:rsidR="00B41523" w:rsidRPr="00826231" w:rsidRDefault="00B41523" w:rsidP="00B41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Mediante </w:t>
      </w:r>
      <w:r w:rsidR="00D44D59" w:rsidRPr="00B41523">
        <w:rPr>
          <w:rFonts w:ascii="Arial" w:hAnsi="Arial" w:cs="Arial"/>
          <w:sz w:val="24"/>
          <w:szCs w:val="24"/>
        </w:rPr>
        <w:t xml:space="preserve">Ordenanza </w:t>
      </w:r>
      <w:r w:rsidR="00C334FE" w:rsidRPr="00B41523">
        <w:rPr>
          <w:rFonts w:ascii="Arial" w:hAnsi="Arial" w:cs="Arial"/>
          <w:sz w:val="24"/>
          <w:szCs w:val="24"/>
        </w:rPr>
        <w:t xml:space="preserve">093 DE 2019 </w:t>
      </w:r>
      <w:r>
        <w:rPr>
          <w:rFonts w:ascii="Arial" w:hAnsi="Arial" w:cs="Arial"/>
          <w:sz w:val="24"/>
          <w:szCs w:val="24"/>
        </w:rPr>
        <w:t xml:space="preserve">se </w:t>
      </w:r>
      <w:r w:rsidR="00C334FE" w:rsidRPr="00B41523">
        <w:rPr>
          <w:rFonts w:ascii="Arial" w:hAnsi="Arial" w:cs="Arial"/>
          <w:sz w:val="24"/>
          <w:szCs w:val="24"/>
        </w:rPr>
        <w:t xml:space="preserve">establece </w:t>
      </w:r>
      <w:r w:rsidRPr="00B41523">
        <w:rPr>
          <w:rFonts w:ascii="Arial" w:hAnsi="Arial" w:cs="Arial"/>
          <w:sz w:val="24"/>
          <w:szCs w:val="24"/>
        </w:rPr>
        <w:t>la política</w:t>
      </w:r>
      <w:r w:rsidR="00D44D59" w:rsidRPr="00B41523">
        <w:rPr>
          <w:rFonts w:ascii="Arial" w:hAnsi="Arial" w:cs="Arial"/>
          <w:sz w:val="24"/>
          <w:szCs w:val="24"/>
        </w:rPr>
        <w:t xml:space="preserve"> pública de envejecimiento y vejez de Cundinamarca.</w:t>
      </w:r>
      <w:r w:rsidR="00C334FE" w:rsidRPr="00B41523">
        <w:rPr>
          <w:rFonts w:ascii="Arial" w:hAnsi="Arial" w:cs="Arial"/>
          <w:sz w:val="24"/>
          <w:szCs w:val="24"/>
        </w:rPr>
        <w:t xml:space="preserve"> 2019 – 2029 </w:t>
      </w:r>
      <w:r w:rsidRPr="00B41523">
        <w:rPr>
          <w:rFonts w:ascii="Arial" w:hAnsi="Arial" w:cs="Arial"/>
          <w:sz w:val="24"/>
          <w:szCs w:val="24"/>
        </w:rPr>
        <w:t>“Por</w:t>
      </w:r>
      <w:r w:rsidR="00C334FE" w:rsidRPr="00B41523">
        <w:rPr>
          <w:rFonts w:ascii="Arial" w:hAnsi="Arial" w:cs="Arial"/>
          <w:sz w:val="24"/>
          <w:szCs w:val="24"/>
        </w:rPr>
        <w:t xml:space="preserve"> una vejez digna, saludable y feliz”</w:t>
      </w:r>
      <w:r>
        <w:rPr>
          <w:rFonts w:ascii="Arial" w:hAnsi="Arial" w:cs="Arial"/>
          <w:sz w:val="24"/>
          <w:szCs w:val="24"/>
        </w:rPr>
        <w:t xml:space="preserve"> </w:t>
      </w:r>
      <w:r w:rsidRPr="00826231">
        <w:rPr>
          <w:rFonts w:ascii="Arial" w:hAnsi="Arial" w:cs="Arial"/>
          <w:sz w:val="24"/>
          <w:szCs w:val="24"/>
        </w:rPr>
        <w:t xml:space="preserve">a través de la articulación con los municipios fortaleciendo los ejes de Mayor Protección, Mayor Participación, Mayor Autonomía y Mayor Felicidad.  </w:t>
      </w:r>
    </w:p>
    <w:p w14:paraId="7DC14335" w14:textId="0CFA46B6" w:rsidR="00563655" w:rsidRPr="00B41523" w:rsidRDefault="00B41523" w:rsidP="00B415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41523">
        <w:rPr>
          <w:rFonts w:ascii="Arial" w:hAnsi="Arial" w:cs="Arial"/>
          <w:b/>
          <w:bCs/>
          <w:color w:val="212121"/>
          <w:sz w:val="24"/>
          <w:szCs w:val="24"/>
        </w:rPr>
        <w:t>PROPOSITO</w:t>
      </w:r>
    </w:p>
    <w:p w14:paraId="7A3C4C6D" w14:textId="7B836B51" w:rsidR="00503BE9" w:rsidRPr="00826231" w:rsidRDefault="00826231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231">
        <w:rPr>
          <w:rFonts w:ascii="Arial" w:hAnsi="Arial" w:cs="Arial"/>
          <w:sz w:val="24"/>
          <w:szCs w:val="24"/>
        </w:rPr>
        <w:t>Ofertar programas y</w:t>
      </w:r>
      <w:r w:rsidR="00D97DAE">
        <w:rPr>
          <w:rFonts w:ascii="Arial" w:hAnsi="Arial" w:cs="Arial"/>
          <w:sz w:val="24"/>
          <w:szCs w:val="24"/>
        </w:rPr>
        <w:t xml:space="preserve"> </w:t>
      </w:r>
      <w:r w:rsidR="00C177C5">
        <w:rPr>
          <w:rFonts w:ascii="Arial" w:hAnsi="Arial" w:cs="Arial"/>
          <w:sz w:val="24"/>
          <w:szCs w:val="24"/>
        </w:rPr>
        <w:t xml:space="preserve">espacios </w:t>
      </w:r>
      <w:r w:rsidR="00C177C5" w:rsidRPr="00826231">
        <w:rPr>
          <w:rFonts w:ascii="Arial" w:hAnsi="Arial" w:cs="Arial"/>
          <w:sz w:val="24"/>
          <w:szCs w:val="24"/>
        </w:rPr>
        <w:t>para</w:t>
      </w:r>
      <w:r w:rsidR="00AE2B43" w:rsidRPr="00826231">
        <w:rPr>
          <w:rFonts w:ascii="Arial" w:hAnsi="Arial" w:cs="Arial"/>
          <w:sz w:val="24"/>
          <w:szCs w:val="24"/>
        </w:rPr>
        <w:t xml:space="preserve"> las personas ma</w:t>
      </w:r>
      <w:r w:rsidRPr="00826231">
        <w:rPr>
          <w:rFonts w:ascii="Arial" w:hAnsi="Arial" w:cs="Arial"/>
          <w:sz w:val="24"/>
          <w:szCs w:val="24"/>
        </w:rPr>
        <w:t>yores del d</w:t>
      </w:r>
      <w:r w:rsidR="00AE2B43" w:rsidRPr="00826231">
        <w:rPr>
          <w:rFonts w:ascii="Arial" w:hAnsi="Arial" w:cs="Arial"/>
          <w:sz w:val="24"/>
          <w:szCs w:val="24"/>
        </w:rPr>
        <w:t>epartame</w:t>
      </w:r>
      <w:r w:rsidRPr="00826231">
        <w:rPr>
          <w:rFonts w:ascii="Arial" w:hAnsi="Arial" w:cs="Arial"/>
          <w:sz w:val="24"/>
          <w:szCs w:val="24"/>
        </w:rPr>
        <w:t xml:space="preserve">nto de Cundinamarca </w:t>
      </w:r>
      <w:r w:rsidR="00AE2B43" w:rsidRPr="00826231">
        <w:rPr>
          <w:rFonts w:ascii="Arial" w:hAnsi="Arial" w:cs="Arial"/>
          <w:sz w:val="24"/>
          <w:szCs w:val="24"/>
        </w:rPr>
        <w:t xml:space="preserve">promoviendo el envejecimiento activo y una vejez digna, saludable y feliz. </w:t>
      </w:r>
    </w:p>
    <w:p w14:paraId="764CDB52" w14:textId="77777777" w:rsidR="00826231" w:rsidRPr="00826231" w:rsidRDefault="00826231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6BE04" w14:textId="7179FE06" w:rsidR="00EF66DA" w:rsidRPr="00826231" w:rsidRDefault="00B41523" w:rsidP="00B4152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ACCIONES</w:t>
      </w:r>
    </w:p>
    <w:p w14:paraId="35348894" w14:textId="7CEBDB07" w:rsidR="00A6766D" w:rsidRPr="00A6766D" w:rsidRDefault="00A6766D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766D">
        <w:rPr>
          <w:rFonts w:ascii="Arial" w:hAnsi="Arial" w:cs="Arial"/>
          <w:sz w:val="24"/>
          <w:szCs w:val="24"/>
        </w:rPr>
        <w:t xml:space="preserve">Desarrollar el plan de implementación de la política pública de envejecimiento y vejez </w:t>
      </w:r>
      <w:r>
        <w:rPr>
          <w:rFonts w:ascii="Arial" w:hAnsi="Arial" w:cs="Arial"/>
          <w:sz w:val="24"/>
          <w:szCs w:val="24"/>
        </w:rPr>
        <w:t xml:space="preserve">en el departamento y </w:t>
      </w:r>
      <w:r w:rsidRPr="00A6766D">
        <w:rPr>
          <w:rFonts w:ascii="Arial" w:hAnsi="Arial" w:cs="Arial"/>
          <w:sz w:val="24"/>
          <w:szCs w:val="24"/>
        </w:rPr>
        <w:t xml:space="preserve">en </w:t>
      </w:r>
      <w:r w:rsidR="00C177C5" w:rsidRPr="00A6766D">
        <w:rPr>
          <w:rFonts w:ascii="Arial" w:hAnsi="Arial" w:cs="Arial"/>
          <w:sz w:val="24"/>
          <w:szCs w:val="24"/>
        </w:rPr>
        <w:t>los municipios</w:t>
      </w:r>
      <w:r w:rsidRPr="00A6766D">
        <w:rPr>
          <w:rFonts w:ascii="Arial" w:hAnsi="Arial" w:cs="Arial"/>
          <w:sz w:val="24"/>
          <w:szCs w:val="24"/>
        </w:rPr>
        <w:t xml:space="preserve"> priorizados.</w:t>
      </w:r>
    </w:p>
    <w:p w14:paraId="2FA86954" w14:textId="77777777" w:rsidR="00A6766D" w:rsidRDefault="00A6766D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766D">
        <w:rPr>
          <w:rFonts w:ascii="Arial" w:hAnsi="Arial" w:cs="Arial"/>
          <w:sz w:val="24"/>
          <w:szCs w:val="24"/>
        </w:rPr>
        <w:t>Conformar redes primarias, secundarias e institucionales de apoyo a las personas mayores del departamento, como sujetos de derecho y actores sociales</w:t>
      </w:r>
    </w:p>
    <w:p w14:paraId="4F507168" w14:textId="7BB8FBA8" w:rsidR="00A6766D" w:rsidRDefault="00A6766D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766D">
        <w:rPr>
          <w:rFonts w:ascii="Arial" w:hAnsi="Arial" w:cs="Arial"/>
          <w:sz w:val="24"/>
          <w:szCs w:val="24"/>
        </w:rPr>
        <w:t>Realizar la caracterización de la población mayor del departamento desde el enfoque de salud, social, ambiental, económico y antropológico.</w:t>
      </w:r>
    </w:p>
    <w:p w14:paraId="029B5857" w14:textId="1C98C245" w:rsidR="00C177C5" w:rsidRDefault="00C177C5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61A18B" w14:textId="77777777" w:rsidR="00C177C5" w:rsidRDefault="00C177C5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F18D8" w14:textId="60E8D089" w:rsidR="00B41523" w:rsidRDefault="00B41523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50F35" w14:textId="17754344" w:rsidR="00B41523" w:rsidRDefault="00B41523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24779" w14:textId="549C902C" w:rsidR="00B41523" w:rsidRDefault="00B41523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3D010" w14:textId="4B61B4C0" w:rsidR="00B41523" w:rsidRDefault="00B41523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6019C4" w14:textId="47C9633F" w:rsidR="00B41523" w:rsidRDefault="00B41523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F14939" w14:textId="2A92C150" w:rsidR="00B41523" w:rsidRDefault="00B41523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ED6FA" w14:textId="77777777" w:rsidR="00B41523" w:rsidRDefault="00B41523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B7BB8" w14:textId="77777777" w:rsidR="00A6766D" w:rsidRDefault="00A6766D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2BB2B" w14:textId="7A942555" w:rsidR="00B41523" w:rsidRDefault="00A6766D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Fortalecer </w:t>
      </w:r>
      <w:r w:rsidR="00B41523">
        <w:rPr>
          <w:rFonts w:ascii="Arial" w:hAnsi="Arial" w:cs="Arial"/>
          <w:sz w:val="24"/>
          <w:szCs w:val="24"/>
        </w:rPr>
        <w:t xml:space="preserve">las acciones de Atención Primaria en Salud - </w:t>
      </w:r>
      <w:r>
        <w:rPr>
          <w:rFonts w:ascii="Arial" w:hAnsi="Arial" w:cs="Arial"/>
          <w:sz w:val="24"/>
          <w:szCs w:val="24"/>
        </w:rPr>
        <w:t xml:space="preserve">APS </w:t>
      </w:r>
      <w:r w:rsidR="00C177C5">
        <w:rPr>
          <w:rFonts w:ascii="Arial" w:hAnsi="Arial" w:cs="Arial"/>
          <w:sz w:val="24"/>
          <w:szCs w:val="24"/>
        </w:rPr>
        <w:t>–</w:t>
      </w:r>
      <w:r w:rsidR="00B41523">
        <w:rPr>
          <w:rFonts w:ascii="Arial" w:hAnsi="Arial" w:cs="Arial"/>
          <w:sz w:val="24"/>
          <w:szCs w:val="24"/>
        </w:rPr>
        <w:t xml:space="preserve"> </w:t>
      </w:r>
      <w:r w:rsidR="00C177C5">
        <w:rPr>
          <w:rFonts w:ascii="Arial" w:hAnsi="Arial" w:cs="Arial"/>
          <w:sz w:val="24"/>
          <w:szCs w:val="24"/>
        </w:rPr>
        <w:t xml:space="preserve">para la población mayor, </w:t>
      </w:r>
      <w:r>
        <w:rPr>
          <w:rFonts w:ascii="Arial" w:hAnsi="Arial" w:cs="Arial"/>
          <w:sz w:val="24"/>
          <w:szCs w:val="24"/>
        </w:rPr>
        <w:t>en los entornos escolar, familiar, institucional, comunitario</w:t>
      </w:r>
      <w:r w:rsidR="00C177C5">
        <w:rPr>
          <w:rFonts w:ascii="Arial" w:hAnsi="Arial" w:cs="Arial"/>
          <w:sz w:val="24"/>
          <w:szCs w:val="24"/>
        </w:rPr>
        <w:t xml:space="preserve">, realizando junto con las GEBIS las estrategias de Cuidando al </w:t>
      </w:r>
      <w:proofErr w:type="gramStart"/>
      <w:r w:rsidR="00C177C5">
        <w:rPr>
          <w:rFonts w:ascii="Arial" w:hAnsi="Arial" w:cs="Arial"/>
          <w:sz w:val="24"/>
          <w:szCs w:val="24"/>
        </w:rPr>
        <w:t>cuidador,  envejecimiento</w:t>
      </w:r>
      <w:proofErr w:type="gramEnd"/>
      <w:r w:rsidR="00C177C5">
        <w:rPr>
          <w:rFonts w:ascii="Arial" w:hAnsi="Arial" w:cs="Arial"/>
          <w:sz w:val="24"/>
          <w:szCs w:val="24"/>
        </w:rPr>
        <w:t xml:space="preserve"> activo, cuidados paliativos en el entorno familiar, encuentros intergeneracionales en el entorno educativo. </w:t>
      </w:r>
    </w:p>
    <w:p w14:paraId="1F8C2046" w14:textId="362E7ED7" w:rsidR="007F6562" w:rsidRPr="00B41523" w:rsidRDefault="00B41523" w:rsidP="00B41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77C5">
        <w:rPr>
          <w:rFonts w:ascii="Arial" w:hAnsi="Arial" w:cs="Arial"/>
          <w:sz w:val="24"/>
          <w:szCs w:val="24"/>
        </w:rPr>
        <w:t>Desarrollar c</w:t>
      </w:r>
      <w:r>
        <w:rPr>
          <w:rFonts w:ascii="Arial" w:hAnsi="Arial" w:cs="Arial"/>
          <w:sz w:val="24"/>
          <w:szCs w:val="24"/>
        </w:rPr>
        <w:t>ambio</w:t>
      </w:r>
      <w:r w:rsidR="00C177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e</w:t>
      </w:r>
      <w:r w:rsidR="007F6562" w:rsidRPr="00B41523">
        <w:rPr>
          <w:rFonts w:ascii="Arial" w:hAnsi="Arial" w:cs="Arial"/>
          <w:color w:val="000000" w:themeColor="text1"/>
          <w:sz w:val="24"/>
          <w:szCs w:val="24"/>
        </w:rPr>
        <w:t xml:space="preserve">stereotipos negativos sobre la </w:t>
      </w:r>
      <w:r w:rsidR="007F6562" w:rsidRPr="00B41523">
        <w:rPr>
          <w:rFonts w:ascii="Arial" w:hAnsi="Arial" w:cs="Arial"/>
          <w:sz w:val="24"/>
          <w:szCs w:val="24"/>
        </w:rPr>
        <w:t xml:space="preserve">vejez y la violencia en las personas mayores </w:t>
      </w:r>
    </w:p>
    <w:p w14:paraId="2D3DB160" w14:textId="67222096" w:rsidR="0011360B" w:rsidRPr="00B41523" w:rsidRDefault="00B41523" w:rsidP="00C177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11360B" w:rsidRPr="00B41523">
        <w:rPr>
          <w:rFonts w:ascii="Arial" w:hAnsi="Arial" w:cs="Arial"/>
          <w:sz w:val="24"/>
          <w:szCs w:val="24"/>
        </w:rPr>
        <w:t xml:space="preserve">Divulgar de la Política pública de envejecimiento y vejez tanto a </w:t>
      </w:r>
      <w:r w:rsidRPr="00B41523">
        <w:rPr>
          <w:rFonts w:ascii="Arial" w:hAnsi="Arial" w:cs="Arial"/>
          <w:sz w:val="24"/>
          <w:szCs w:val="24"/>
        </w:rPr>
        <w:t>nivel departamental</w:t>
      </w:r>
      <w:r w:rsidR="00A6766D" w:rsidRPr="00B41523">
        <w:rPr>
          <w:rFonts w:ascii="Arial" w:hAnsi="Arial" w:cs="Arial"/>
          <w:sz w:val="24"/>
          <w:szCs w:val="24"/>
        </w:rPr>
        <w:t xml:space="preserve"> como municipal.</w:t>
      </w:r>
    </w:p>
    <w:p w14:paraId="1C3DA3BF" w14:textId="537AA6B1" w:rsidR="00027FA2" w:rsidRPr="00B41523" w:rsidRDefault="00B41523" w:rsidP="00C177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FA2" w:rsidRPr="00B41523">
        <w:rPr>
          <w:rFonts w:ascii="Arial" w:hAnsi="Arial" w:cs="Arial"/>
          <w:sz w:val="24"/>
          <w:szCs w:val="24"/>
        </w:rPr>
        <w:t xml:space="preserve">Realizar acompañamiento </w:t>
      </w:r>
      <w:r w:rsidR="00A6766D" w:rsidRPr="00B41523">
        <w:rPr>
          <w:rFonts w:ascii="Arial" w:hAnsi="Arial" w:cs="Arial"/>
          <w:sz w:val="24"/>
          <w:szCs w:val="24"/>
        </w:rPr>
        <w:t>en la implementación de la política publica</w:t>
      </w:r>
      <w:r>
        <w:rPr>
          <w:rFonts w:ascii="Arial" w:hAnsi="Arial" w:cs="Arial"/>
          <w:sz w:val="24"/>
          <w:szCs w:val="24"/>
        </w:rPr>
        <w:t xml:space="preserve"> de envejecimiento y vejez e</w:t>
      </w:r>
      <w:r w:rsidRPr="00B41523">
        <w:rPr>
          <w:rFonts w:ascii="Arial" w:hAnsi="Arial" w:cs="Arial"/>
          <w:sz w:val="24"/>
          <w:szCs w:val="24"/>
        </w:rPr>
        <w:t xml:space="preserve">n </w:t>
      </w:r>
      <w:r w:rsidR="00C177C5" w:rsidRPr="00B41523">
        <w:rPr>
          <w:rFonts w:ascii="Arial" w:hAnsi="Arial" w:cs="Arial"/>
          <w:sz w:val="24"/>
          <w:szCs w:val="24"/>
        </w:rPr>
        <w:t>los 20</w:t>
      </w:r>
      <w:r w:rsidR="00027FA2" w:rsidRPr="00B41523">
        <w:rPr>
          <w:rFonts w:ascii="Arial" w:hAnsi="Arial" w:cs="Arial"/>
          <w:sz w:val="24"/>
          <w:szCs w:val="24"/>
        </w:rPr>
        <w:t xml:space="preserve"> municipios </w:t>
      </w:r>
      <w:r w:rsidR="00A6766D" w:rsidRPr="00B41523">
        <w:rPr>
          <w:rFonts w:ascii="Arial" w:hAnsi="Arial" w:cs="Arial"/>
          <w:sz w:val="24"/>
          <w:szCs w:val="24"/>
        </w:rPr>
        <w:t>prioriza</w:t>
      </w:r>
      <w:r w:rsidR="00027FA2" w:rsidRPr="00B41523">
        <w:rPr>
          <w:rFonts w:ascii="Arial" w:hAnsi="Arial" w:cs="Arial"/>
          <w:sz w:val="24"/>
          <w:szCs w:val="24"/>
        </w:rPr>
        <w:t xml:space="preserve">dos </w:t>
      </w:r>
    </w:p>
    <w:p w14:paraId="49235D1D" w14:textId="42429E51" w:rsidR="00FC6D58" w:rsidRPr="00B41523" w:rsidRDefault="00B41523" w:rsidP="00C177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766D" w:rsidRPr="00B41523">
        <w:rPr>
          <w:rFonts w:ascii="Arial" w:hAnsi="Arial" w:cs="Arial"/>
          <w:sz w:val="24"/>
          <w:szCs w:val="24"/>
        </w:rPr>
        <w:t>Fortalecer los comités gerontológicos municipales</w:t>
      </w:r>
    </w:p>
    <w:p w14:paraId="2EEF2F27" w14:textId="788978DD" w:rsidR="00A6766D" w:rsidRPr="00C177C5" w:rsidRDefault="00C177C5" w:rsidP="00C177C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766D" w:rsidRPr="00C177C5">
        <w:rPr>
          <w:rFonts w:ascii="Arial" w:hAnsi="Arial" w:cs="Arial"/>
          <w:sz w:val="24"/>
          <w:szCs w:val="24"/>
        </w:rPr>
        <w:t xml:space="preserve">Brindar asistencia técnica sobre los requisitos mínimos esenciales que deben acreditar los Centros </w:t>
      </w:r>
      <w:r w:rsidRPr="00C177C5">
        <w:rPr>
          <w:rFonts w:ascii="Arial" w:hAnsi="Arial" w:cs="Arial"/>
          <w:sz w:val="24"/>
          <w:szCs w:val="24"/>
        </w:rPr>
        <w:t>Vida y</w:t>
      </w:r>
      <w:r w:rsidR="00A6766D" w:rsidRPr="00C177C5">
        <w:rPr>
          <w:rFonts w:ascii="Arial" w:hAnsi="Arial" w:cs="Arial"/>
          <w:sz w:val="24"/>
          <w:szCs w:val="24"/>
        </w:rPr>
        <w:t xml:space="preserve"> las condiciones mínimas que dignifiquen la estadía en los centros </w:t>
      </w:r>
      <w:r w:rsidRPr="00C177C5">
        <w:rPr>
          <w:rFonts w:ascii="Arial" w:hAnsi="Arial" w:cs="Arial"/>
          <w:sz w:val="24"/>
          <w:szCs w:val="24"/>
        </w:rPr>
        <w:t>de protección</w:t>
      </w:r>
      <w:r w:rsidR="00A6766D" w:rsidRPr="00C177C5">
        <w:rPr>
          <w:rFonts w:ascii="Arial" w:hAnsi="Arial" w:cs="Arial"/>
          <w:sz w:val="24"/>
          <w:szCs w:val="24"/>
        </w:rPr>
        <w:t xml:space="preserve"> de la población mayor.</w:t>
      </w:r>
    </w:p>
    <w:p w14:paraId="28F0C502" w14:textId="1C6B0C37" w:rsidR="00A6766D" w:rsidRDefault="00C177C5" w:rsidP="00B41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766D">
        <w:rPr>
          <w:rFonts w:ascii="Arial" w:hAnsi="Arial" w:cs="Arial"/>
          <w:sz w:val="24"/>
          <w:szCs w:val="24"/>
        </w:rPr>
        <w:t>Implementar y fortalecer los programas integrales de los centros de protección y ce</w:t>
      </w:r>
      <w:r w:rsidR="00FC6D58">
        <w:rPr>
          <w:rFonts w:ascii="Arial" w:hAnsi="Arial" w:cs="Arial"/>
          <w:sz w:val="24"/>
          <w:szCs w:val="24"/>
        </w:rPr>
        <w:t>ntros día de la población mayor en los 60 municipios priorizados.</w:t>
      </w:r>
    </w:p>
    <w:p w14:paraId="1EBB56D7" w14:textId="37FFEF8C" w:rsidR="00453C14" w:rsidRPr="00C177C5" w:rsidRDefault="00453C14" w:rsidP="00B41523">
      <w:pPr>
        <w:jc w:val="both"/>
        <w:rPr>
          <w:rFonts w:ascii="Arial" w:hAnsi="Arial" w:cs="Arial"/>
          <w:bCs/>
          <w:sz w:val="24"/>
          <w:szCs w:val="24"/>
          <w:highlight w:val="darkGreen"/>
        </w:rPr>
      </w:pPr>
    </w:p>
    <w:p w14:paraId="163F7EE8" w14:textId="7B2DF8A5" w:rsidR="008F3C34" w:rsidRPr="00C177C5" w:rsidRDefault="008F3C34" w:rsidP="00C177C5">
      <w:pPr>
        <w:jc w:val="both"/>
        <w:rPr>
          <w:rFonts w:ascii="Arial" w:hAnsi="Arial" w:cs="Arial"/>
          <w:bCs/>
          <w:sz w:val="24"/>
          <w:szCs w:val="24"/>
          <w:highlight w:val="darkGreen"/>
        </w:rPr>
      </w:pPr>
    </w:p>
    <w:p w14:paraId="1CF43D4F" w14:textId="77777777" w:rsidR="007062BA" w:rsidRDefault="007062BA" w:rsidP="00B41523">
      <w:pPr>
        <w:jc w:val="both"/>
        <w:rPr>
          <w:rFonts w:ascii="Arial" w:hAnsi="Arial" w:cs="Arial"/>
          <w:bCs/>
          <w:sz w:val="24"/>
          <w:szCs w:val="24"/>
        </w:rPr>
      </w:pPr>
    </w:p>
    <w:p w14:paraId="60E0CDEC" w14:textId="77777777" w:rsidR="007062BA" w:rsidRDefault="007062BA" w:rsidP="00B41523">
      <w:pPr>
        <w:jc w:val="both"/>
        <w:rPr>
          <w:rFonts w:ascii="Arial" w:hAnsi="Arial" w:cs="Arial"/>
          <w:bCs/>
          <w:sz w:val="24"/>
          <w:szCs w:val="24"/>
        </w:rPr>
      </w:pPr>
    </w:p>
    <w:p w14:paraId="2B48C8DA" w14:textId="77777777" w:rsidR="007062BA" w:rsidRDefault="007062BA" w:rsidP="00B41523">
      <w:pPr>
        <w:jc w:val="both"/>
        <w:rPr>
          <w:rFonts w:ascii="Arial" w:hAnsi="Arial" w:cs="Arial"/>
          <w:bCs/>
          <w:sz w:val="24"/>
          <w:szCs w:val="24"/>
        </w:rPr>
      </w:pPr>
    </w:p>
    <w:p w14:paraId="224E1F2D" w14:textId="77777777" w:rsidR="007062BA" w:rsidRDefault="007062BA" w:rsidP="00B41523">
      <w:pPr>
        <w:jc w:val="both"/>
        <w:rPr>
          <w:rFonts w:ascii="Arial" w:hAnsi="Arial" w:cs="Arial"/>
          <w:bCs/>
          <w:sz w:val="24"/>
          <w:szCs w:val="24"/>
        </w:rPr>
      </w:pPr>
    </w:p>
    <w:p w14:paraId="2A0EBBDE" w14:textId="77777777" w:rsidR="007062BA" w:rsidRPr="007062BA" w:rsidRDefault="007062BA" w:rsidP="00B41523">
      <w:pPr>
        <w:jc w:val="both"/>
        <w:rPr>
          <w:rFonts w:ascii="Arial" w:hAnsi="Arial" w:cs="Arial"/>
          <w:bCs/>
          <w:sz w:val="24"/>
          <w:szCs w:val="24"/>
        </w:rPr>
      </w:pPr>
    </w:p>
    <w:p w14:paraId="2B2BA91B" w14:textId="77777777" w:rsidR="007062BA" w:rsidRPr="00826231" w:rsidRDefault="007062BA" w:rsidP="00B41523">
      <w:pPr>
        <w:jc w:val="both"/>
        <w:rPr>
          <w:rFonts w:ascii="Arial" w:hAnsi="Arial" w:cs="Arial"/>
          <w:b/>
          <w:sz w:val="24"/>
          <w:szCs w:val="24"/>
        </w:rPr>
      </w:pPr>
    </w:p>
    <w:p w14:paraId="69539D9D" w14:textId="77777777" w:rsidR="00772FF9" w:rsidRDefault="00772FF9" w:rsidP="00B41523">
      <w:pPr>
        <w:jc w:val="both"/>
        <w:rPr>
          <w:rFonts w:ascii="Arial" w:hAnsi="Arial" w:cs="Arial"/>
          <w:sz w:val="24"/>
          <w:szCs w:val="24"/>
        </w:rPr>
      </w:pPr>
    </w:p>
    <w:p w14:paraId="47D27C62" w14:textId="77777777" w:rsidR="007062BA" w:rsidRDefault="007062BA" w:rsidP="00B41523">
      <w:pPr>
        <w:jc w:val="both"/>
        <w:rPr>
          <w:rFonts w:ascii="Arial" w:hAnsi="Arial" w:cs="Arial"/>
          <w:sz w:val="24"/>
          <w:szCs w:val="24"/>
        </w:rPr>
      </w:pPr>
    </w:p>
    <w:p w14:paraId="70FA881A" w14:textId="77777777" w:rsidR="007062BA" w:rsidRDefault="007062BA" w:rsidP="00B41523">
      <w:pPr>
        <w:jc w:val="both"/>
        <w:rPr>
          <w:rFonts w:ascii="Arial" w:hAnsi="Arial" w:cs="Arial"/>
          <w:sz w:val="24"/>
          <w:szCs w:val="24"/>
        </w:rPr>
      </w:pPr>
    </w:p>
    <w:p w14:paraId="564438BE" w14:textId="77777777" w:rsidR="007062BA" w:rsidRDefault="007062BA" w:rsidP="00B41523">
      <w:pPr>
        <w:jc w:val="both"/>
        <w:rPr>
          <w:rFonts w:ascii="Arial" w:hAnsi="Arial" w:cs="Arial"/>
          <w:sz w:val="24"/>
          <w:szCs w:val="24"/>
        </w:rPr>
      </w:pPr>
    </w:p>
    <w:p w14:paraId="1241AF10" w14:textId="77777777" w:rsidR="007062BA" w:rsidRDefault="007062BA" w:rsidP="00B41523">
      <w:pPr>
        <w:jc w:val="both"/>
        <w:rPr>
          <w:rFonts w:ascii="Arial" w:hAnsi="Arial" w:cs="Arial"/>
          <w:sz w:val="24"/>
          <w:szCs w:val="24"/>
        </w:rPr>
      </w:pPr>
    </w:p>
    <w:p w14:paraId="7CE5AAB6" w14:textId="77777777" w:rsidR="007062BA" w:rsidRDefault="007062BA" w:rsidP="00B41523">
      <w:pPr>
        <w:jc w:val="both"/>
        <w:rPr>
          <w:rFonts w:ascii="Arial" w:hAnsi="Arial" w:cs="Arial"/>
          <w:sz w:val="24"/>
          <w:szCs w:val="24"/>
        </w:rPr>
      </w:pPr>
    </w:p>
    <w:p w14:paraId="11D30746" w14:textId="77777777" w:rsidR="00213DAF" w:rsidRDefault="00213DAF" w:rsidP="00B41523">
      <w:pPr>
        <w:jc w:val="both"/>
        <w:rPr>
          <w:rFonts w:ascii="Arial" w:hAnsi="Arial" w:cs="Arial"/>
          <w:sz w:val="24"/>
          <w:szCs w:val="24"/>
        </w:rPr>
      </w:pPr>
    </w:p>
    <w:p w14:paraId="67CAC558" w14:textId="77777777" w:rsidR="00213DAF" w:rsidRDefault="00213DAF" w:rsidP="00B41523">
      <w:pPr>
        <w:jc w:val="both"/>
        <w:rPr>
          <w:rFonts w:ascii="Arial" w:hAnsi="Arial" w:cs="Arial"/>
          <w:sz w:val="24"/>
          <w:szCs w:val="24"/>
        </w:rPr>
      </w:pPr>
    </w:p>
    <w:p w14:paraId="6901B4A8" w14:textId="77777777" w:rsidR="00213DAF" w:rsidRDefault="00213DAF" w:rsidP="00B41523">
      <w:pPr>
        <w:jc w:val="both"/>
        <w:rPr>
          <w:rFonts w:ascii="Arial" w:hAnsi="Arial" w:cs="Arial"/>
          <w:sz w:val="24"/>
          <w:szCs w:val="24"/>
        </w:rPr>
      </w:pPr>
    </w:p>
    <w:p w14:paraId="017C7C42" w14:textId="77777777" w:rsidR="00213DAF" w:rsidRDefault="00213DAF" w:rsidP="00B41523">
      <w:pPr>
        <w:jc w:val="both"/>
        <w:rPr>
          <w:rFonts w:ascii="Arial" w:hAnsi="Arial" w:cs="Arial"/>
          <w:sz w:val="24"/>
          <w:szCs w:val="24"/>
        </w:rPr>
      </w:pPr>
    </w:p>
    <w:p w14:paraId="1FB7A0AF" w14:textId="77777777" w:rsidR="00213DAF" w:rsidRDefault="00213DAF" w:rsidP="00B41523">
      <w:pPr>
        <w:jc w:val="both"/>
        <w:rPr>
          <w:rFonts w:ascii="Arial" w:hAnsi="Arial" w:cs="Arial"/>
          <w:sz w:val="24"/>
          <w:szCs w:val="24"/>
        </w:rPr>
      </w:pPr>
    </w:p>
    <w:p w14:paraId="629C0F99" w14:textId="77777777" w:rsidR="00213DAF" w:rsidRDefault="00213DAF" w:rsidP="00B41523">
      <w:pPr>
        <w:jc w:val="both"/>
        <w:rPr>
          <w:rFonts w:ascii="Arial" w:hAnsi="Arial" w:cs="Arial"/>
          <w:sz w:val="24"/>
          <w:szCs w:val="24"/>
        </w:rPr>
      </w:pPr>
    </w:p>
    <w:p w14:paraId="180F4480" w14:textId="77777777" w:rsidR="00213DAF" w:rsidRDefault="00213DAF" w:rsidP="00B41523">
      <w:pPr>
        <w:jc w:val="both"/>
        <w:rPr>
          <w:rFonts w:ascii="Arial" w:hAnsi="Arial" w:cs="Arial"/>
          <w:sz w:val="24"/>
          <w:szCs w:val="24"/>
        </w:rPr>
      </w:pPr>
    </w:p>
    <w:p w14:paraId="1CC3B17A" w14:textId="77777777" w:rsidR="007062BA" w:rsidRDefault="007062BA" w:rsidP="00B41523">
      <w:pPr>
        <w:jc w:val="both"/>
        <w:rPr>
          <w:rFonts w:ascii="Arial" w:hAnsi="Arial" w:cs="Arial"/>
          <w:sz w:val="24"/>
          <w:szCs w:val="24"/>
        </w:rPr>
      </w:pPr>
    </w:p>
    <w:p w14:paraId="1A7C5A08" w14:textId="77777777" w:rsidR="007062BA" w:rsidRPr="00826231" w:rsidRDefault="007062BA" w:rsidP="00B41523">
      <w:pPr>
        <w:jc w:val="both"/>
        <w:rPr>
          <w:rFonts w:ascii="Arial" w:hAnsi="Arial" w:cs="Arial"/>
          <w:sz w:val="24"/>
          <w:szCs w:val="24"/>
        </w:rPr>
      </w:pPr>
    </w:p>
    <w:p w14:paraId="2F96AE0A" w14:textId="77777777" w:rsidR="003C7753" w:rsidRPr="00826231" w:rsidRDefault="003C7753" w:rsidP="00B41523">
      <w:pPr>
        <w:jc w:val="both"/>
        <w:rPr>
          <w:rFonts w:ascii="Arial" w:hAnsi="Arial" w:cs="Arial"/>
          <w:b/>
          <w:sz w:val="24"/>
          <w:szCs w:val="24"/>
        </w:rPr>
      </w:pPr>
      <w:r w:rsidRPr="00826231">
        <w:rPr>
          <w:rFonts w:ascii="Arial" w:hAnsi="Arial" w:cs="Arial"/>
          <w:b/>
          <w:sz w:val="24"/>
          <w:szCs w:val="24"/>
        </w:rPr>
        <w:t>ANÁLISIS</w:t>
      </w:r>
    </w:p>
    <w:p w14:paraId="429F73E6" w14:textId="77777777" w:rsidR="00D85E6D" w:rsidRDefault="0068622B" w:rsidP="00B41523">
      <w:pPr>
        <w:jc w:val="both"/>
        <w:rPr>
          <w:rFonts w:ascii="Arial" w:hAnsi="Arial" w:cs="Arial"/>
          <w:sz w:val="24"/>
          <w:szCs w:val="24"/>
        </w:rPr>
      </w:pPr>
      <w:r w:rsidRPr="00826231">
        <w:rPr>
          <w:rFonts w:ascii="Arial" w:hAnsi="Arial" w:cs="Arial"/>
          <w:sz w:val="24"/>
          <w:szCs w:val="24"/>
        </w:rPr>
        <w:t xml:space="preserve">Para el año 2020 se implementó el 36% de la política pública de envejecimiento y vejez </w:t>
      </w:r>
      <w:r w:rsidR="007062BA">
        <w:rPr>
          <w:rFonts w:ascii="Arial" w:hAnsi="Arial" w:cs="Arial"/>
          <w:sz w:val="24"/>
          <w:szCs w:val="24"/>
        </w:rPr>
        <w:t xml:space="preserve">con un cumplimiento del 100% </w:t>
      </w:r>
      <w:r w:rsidRPr="00826231">
        <w:rPr>
          <w:rFonts w:ascii="Arial" w:hAnsi="Arial" w:cs="Arial"/>
          <w:sz w:val="24"/>
          <w:szCs w:val="24"/>
        </w:rPr>
        <w:t>de acuerdo a la matriz de seguimiento establecida por planeación departamental</w:t>
      </w:r>
      <w:r w:rsidR="007062BA">
        <w:rPr>
          <w:rFonts w:ascii="Arial" w:hAnsi="Arial" w:cs="Arial"/>
          <w:sz w:val="24"/>
          <w:szCs w:val="24"/>
        </w:rPr>
        <w:t xml:space="preserve"> con el cumplimiento de todos los ítem evaluados de acuerdo a seguimiento realizado por la dirección de políticas públicas y la oficina asesora de planeación sectorial de secretaria de salud.</w:t>
      </w:r>
    </w:p>
    <w:p w14:paraId="7A2E1638" w14:textId="77777777" w:rsidR="00CC2A6E" w:rsidRDefault="00CC2A6E" w:rsidP="00B41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2020 se diseñaron y/o actualizaron, socializaron e implementaron  los lineamientos de los 12 programas integrales de acuerdo a la ley 1276 de 2009 1251 de 2008 y los programas integrales con énfasis en envejecimiento saludable.</w:t>
      </w:r>
    </w:p>
    <w:p w14:paraId="5517501D" w14:textId="77777777" w:rsidR="00D85E6D" w:rsidRDefault="00D85E6D" w:rsidP="00B41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5C1A30">
        <w:rPr>
          <w:rFonts w:ascii="Arial" w:hAnsi="Arial" w:cs="Arial"/>
          <w:sz w:val="24"/>
          <w:szCs w:val="24"/>
        </w:rPr>
        <w:t xml:space="preserve">el año 2020 </w:t>
      </w:r>
      <w:r>
        <w:rPr>
          <w:rFonts w:ascii="Arial" w:hAnsi="Arial" w:cs="Arial"/>
          <w:sz w:val="24"/>
          <w:szCs w:val="24"/>
        </w:rPr>
        <w:t>se brindó asistencia técnica para la conformación y fortalecimiento de 56 comités gerontológicos, elaboración de planes de acción en salud y mitigación de COVID en población mayor de los respectivos municipios.</w:t>
      </w:r>
    </w:p>
    <w:p w14:paraId="7A69466B" w14:textId="77777777" w:rsidR="00D85E6D" w:rsidRDefault="00D85E6D" w:rsidP="00B41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2020 se asesoró a los centros de protección, centros día, secretarias de desarrollo social, PIC, en requisitos mínimos para centros de protección y centros día, de los116 municipios.</w:t>
      </w:r>
    </w:p>
    <w:p w14:paraId="33BF6790" w14:textId="77777777" w:rsidR="00D85E6D" w:rsidRDefault="00886955" w:rsidP="00B41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2020 se actualizó caracterización de los centros día y centros de protección del departamento.</w:t>
      </w:r>
    </w:p>
    <w:p w14:paraId="50F4E058" w14:textId="77777777" w:rsidR="005C1A30" w:rsidRDefault="005C1A30" w:rsidP="00B41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2020 asesoró a los 250 centros de protección del departamento en la mitigación del COVID y manejo d</w:t>
      </w:r>
      <w:r w:rsidR="00D2212E"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z w:val="24"/>
          <w:szCs w:val="24"/>
        </w:rPr>
        <w:t>onglomerados.</w:t>
      </w:r>
    </w:p>
    <w:p w14:paraId="5D4F726C" w14:textId="77777777" w:rsidR="005C1A30" w:rsidRDefault="005C1A30" w:rsidP="00B41523">
      <w:pPr>
        <w:jc w:val="both"/>
        <w:rPr>
          <w:rFonts w:ascii="Arial" w:hAnsi="Arial" w:cs="Arial"/>
          <w:sz w:val="24"/>
          <w:szCs w:val="24"/>
        </w:rPr>
      </w:pPr>
    </w:p>
    <w:p w14:paraId="4BE58D00" w14:textId="77777777" w:rsidR="005C1A30" w:rsidRPr="00826231" w:rsidRDefault="005C1A30" w:rsidP="00B41523">
      <w:pPr>
        <w:jc w:val="both"/>
        <w:rPr>
          <w:rFonts w:ascii="Arial" w:hAnsi="Arial" w:cs="Arial"/>
          <w:sz w:val="24"/>
          <w:szCs w:val="24"/>
        </w:rPr>
      </w:pPr>
    </w:p>
    <w:p w14:paraId="405F04D4" w14:textId="77777777" w:rsidR="00EF66DA" w:rsidRPr="00826231" w:rsidRDefault="00EF66DA" w:rsidP="00B41523">
      <w:pPr>
        <w:jc w:val="both"/>
        <w:rPr>
          <w:rFonts w:ascii="Arial" w:hAnsi="Arial" w:cs="Arial"/>
          <w:sz w:val="24"/>
          <w:szCs w:val="24"/>
        </w:rPr>
      </w:pPr>
    </w:p>
    <w:p w14:paraId="18490BF7" w14:textId="77777777" w:rsidR="00EF66DA" w:rsidRPr="00826231" w:rsidRDefault="00EF66DA" w:rsidP="00B41523">
      <w:pPr>
        <w:jc w:val="both"/>
        <w:rPr>
          <w:rFonts w:ascii="Arial" w:hAnsi="Arial" w:cs="Arial"/>
          <w:sz w:val="24"/>
          <w:szCs w:val="24"/>
        </w:rPr>
      </w:pPr>
    </w:p>
    <w:p w14:paraId="455CB921" w14:textId="77777777" w:rsidR="00EF66DA" w:rsidRPr="00826231" w:rsidRDefault="00EF66DA" w:rsidP="00B41523">
      <w:pPr>
        <w:jc w:val="both"/>
        <w:rPr>
          <w:rFonts w:ascii="Arial" w:hAnsi="Arial" w:cs="Arial"/>
          <w:sz w:val="24"/>
          <w:szCs w:val="24"/>
        </w:rPr>
      </w:pPr>
    </w:p>
    <w:p w14:paraId="1136FBE3" w14:textId="77777777" w:rsidR="00EF66DA" w:rsidRPr="00826231" w:rsidRDefault="00EF66DA" w:rsidP="00B41523">
      <w:pPr>
        <w:jc w:val="both"/>
        <w:rPr>
          <w:rFonts w:ascii="Arial" w:hAnsi="Arial" w:cs="Arial"/>
          <w:sz w:val="24"/>
          <w:szCs w:val="24"/>
        </w:rPr>
      </w:pPr>
    </w:p>
    <w:p w14:paraId="0569DF3A" w14:textId="77777777" w:rsidR="00EF66DA" w:rsidRPr="00826231" w:rsidRDefault="00EF66DA" w:rsidP="00B41523">
      <w:pPr>
        <w:jc w:val="both"/>
        <w:rPr>
          <w:rFonts w:ascii="Arial" w:hAnsi="Arial" w:cs="Arial"/>
          <w:sz w:val="24"/>
          <w:szCs w:val="24"/>
        </w:rPr>
      </w:pPr>
    </w:p>
    <w:p w14:paraId="49A56A8B" w14:textId="77777777" w:rsidR="001D1F26" w:rsidRPr="00826231" w:rsidRDefault="001D1F26" w:rsidP="00B41523">
      <w:pPr>
        <w:jc w:val="both"/>
        <w:rPr>
          <w:rFonts w:ascii="Arial" w:hAnsi="Arial" w:cs="Arial"/>
          <w:sz w:val="24"/>
          <w:szCs w:val="24"/>
        </w:rPr>
      </w:pPr>
    </w:p>
    <w:sectPr w:rsidR="001D1F26" w:rsidRPr="00826231" w:rsidSect="005402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15F2" w14:textId="77777777" w:rsidR="00530982" w:rsidRDefault="00530982" w:rsidP="001D1F26">
      <w:pPr>
        <w:spacing w:after="0" w:line="240" w:lineRule="auto"/>
      </w:pPr>
      <w:r>
        <w:separator/>
      </w:r>
    </w:p>
  </w:endnote>
  <w:endnote w:type="continuationSeparator" w:id="0">
    <w:p w14:paraId="4A2F4EB4" w14:textId="77777777" w:rsidR="00530982" w:rsidRDefault="00530982" w:rsidP="001D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E36E" w14:textId="75A5A234" w:rsidR="001D1F26" w:rsidRDefault="00B07825" w:rsidP="001D1F26">
    <w:pPr>
      <w:pStyle w:val="Piedepgina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246700" wp14:editId="53DD8E36">
              <wp:simplePos x="0" y="0"/>
              <wp:positionH relativeFrom="column">
                <wp:posOffset>4110990</wp:posOffset>
              </wp:positionH>
              <wp:positionV relativeFrom="paragraph">
                <wp:posOffset>-294005</wp:posOffset>
              </wp:positionV>
              <wp:extent cx="2425065" cy="466725"/>
              <wp:effectExtent l="0" t="0" r="0" b="0"/>
              <wp:wrapThrough wrapText="bothSides">
                <wp:wrapPolygon edited="0">
                  <wp:start x="0" y="0"/>
                  <wp:lineTo x="0" y="21159"/>
                  <wp:lineTo x="21379" y="21159"/>
                  <wp:lineTo x="21379" y="0"/>
                  <wp:lineTo x="0" y="0"/>
                </wp:wrapPolygon>
              </wp:wrapThrough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58C9C" w14:textId="77777777" w:rsidR="001D1F26" w:rsidRPr="00341085" w:rsidRDefault="001D1F26" w:rsidP="001D1F26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permStart w:id="660413055" w:edGrp="everyone"/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Secretaria de Salud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, Sede Administrativa. Calle 26  51-53. Torre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Salud Piso 6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. Código Postal: 111321  Bogotá, D.C. Tel. 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7491550   </w:t>
                          </w:r>
                        </w:p>
                        <w:permEnd w:id="660413055"/>
                        <w:p w14:paraId="02F010AC" w14:textId="77777777" w:rsidR="001D1F26" w:rsidRPr="00AD07C8" w:rsidRDefault="001D1F26" w:rsidP="001D1F2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467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3.7pt;margin-top:-23.15pt;width:190.9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" stroked="f">
              <v:textbox>
                <w:txbxContent>
                  <w:p w14:paraId="2F058C9C" w14:textId="77777777" w:rsidR="001D1F26" w:rsidRPr="00341085" w:rsidRDefault="001D1F26" w:rsidP="001D1F26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permStart w:id="660413055" w:edGrp="everyone"/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Secretaria de Salud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, Sede Administrativa. Calle 26  51-53. Torre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Salud Piso 6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. Código Postal: 111321  Bogotá, D.C. Tel. 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7491550   </w:t>
                    </w:r>
                  </w:p>
                  <w:permEnd w:id="660413055"/>
                  <w:p w14:paraId="02F010AC" w14:textId="77777777" w:rsidR="001D1F26" w:rsidRPr="00AD07C8" w:rsidRDefault="001D1F26" w:rsidP="001D1F26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1D1F26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E902EF6" wp14:editId="6C66638A">
          <wp:simplePos x="0" y="0"/>
          <wp:positionH relativeFrom="page">
            <wp:align>right</wp:align>
          </wp:positionH>
          <wp:positionV relativeFrom="paragraph">
            <wp:posOffset>-3752850</wp:posOffset>
          </wp:positionV>
          <wp:extent cx="7715250" cy="451294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325B" w14:textId="77777777" w:rsidR="00530982" w:rsidRDefault="00530982" w:rsidP="001D1F26">
      <w:pPr>
        <w:spacing w:after="0" w:line="240" w:lineRule="auto"/>
      </w:pPr>
      <w:r>
        <w:separator/>
      </w:r>
    </w:p>
  </w:footnote>
  <w:footnote w:type="continuationSeparator" w:id="0">
    <w:p w14:paraId="6B9E2971" w14:textId="77777777" w:rsidR="00530982" w:rsidRDefault="00530982" w:rsidP="001D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CE6C" w14:textId="77777777" w:rsidR="001D1F26" w:rsidRDefault="001D1F26" w:rsidP="001D1F26">
    <w:pPr>
      <w:pStyle w:val="Encabezado"/>
      <w:tabs>
        <w:tab w:val="clear" w:pos="4419"/>
        <w:tab w:val="clear" w:pos="8838"/>
        <w:tab w:val="left" w:pos="2610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9CCE4D9" wp14:editId="7474426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81275" cy="12138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l="3279" t="9731" b="10857"/>
                  <a:stretch/>
                </pic:blipFill>
                <pic:spPr bwMode="auto">
                  <a:xfrm>
                    <a:off x="0" y="0"/>
                    <a:ext cx="2581275" cy="1213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ECE"/>
    <w:multiLevelType w:val="hybridMultilevel"/>
    <w:tmpl w:val="108C3ACE"/>
    <w:lvl w:ilvl="0" w:tplc="B440A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D3F"/>
    <w:multiLevelType w:val="hybridMultilevel"/>
    <w:tmpl w:val="B024FE62"/>
    <w:lvl w:ilvl="0" w:tplc="60BA5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4177"/>
    <w:multiLevelType w:val="hybridMultilevel"/>
    <w:tmpl w:val="75D25A08"/>
    <w:lvl w:ilvl="0" w:tplc="73888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BAF"/>
    <w:multiLevelType w:val="hybridMultilevel"/>
    <w:tmpl w:val="9C723D16"/>
    <w:lvl w:ilvl="0" w:tplc="8B581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2B58"/>
    <w:multiLevelType w:val="hybridMultilevel"/>
    <w:tmpl w:val="1A163E66"/>
    <w:lvl w:ilvl="0" w:tplc="73888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33740"/>
    <w:multiLevelType w:val="hybridMultilevel"/>
    <w:tmpl w:val="9ACAC014"/>
    <w:lvl w:ilvl="0" w:tplc="73888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202C0"/>
    <w:multiLevelType w:val="hybridMultilevel"/>
    <w:tmpl w:val="81062E8A"/>
    <w:lvl w:ilvl="0" w:tplc="73888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5D1D"/>
    <w:multiLevelType w:val="hybridMultilevel"/>
    <w:tmpl w:val="B920A0F2"/>
    <w:lvl w:ilvl="0" w:tplc="73888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4932"/>
    <w:multiLevelType w:val="hybridMultilevel"/>
    <w:tmpl w:val="F8AA3446"/>
    <w:lvl w:ilvl="0" w:tplc="A6A0D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361E2"/>
    <w:multiLevelType w:val="hybridMultilevel"/>
    <w:tmpl w:val="9C723D16"/>
    <w:lvl w:ilvl="0" w:tplc="8B581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9738A"/>
    <w:multiLevelType w:val="hybridMultilevel"/>
    <w:tmpl w:val="86724D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83FC4"/>
    <w:multiLevelType w:val="hybridMultilevel"/>
    <w:tmpl w:val="172E84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16C2C"/>
    <w:multiLevelType w:val="hybridMultilevel"/>
    <w:tmpl w:val="ED404A0E"/>
    <w:lvl w:ilvl="0" w:tplc="96083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5B08"/>
    <w:multiLevelType w:val="hybridMultilevel"/>
    <w:tmpl w:val="9214A4CA"/>
    <w:lvl w:ilvl="0" w:tplc="2F8A0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D1014"/>
    <w:multiLevelType w:val="hybridMultilevel"/>
    <w:tmpl w:val="6A6E54BA"/>
    <w:lvl w:ilvl="0" w:tplc="73888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17865"/>
    <w:multiLevelType w:val="hybridMultilevel"/>
    <w:tmpl w:val="341EDB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2069C"/>
    <w:multiLevelType w:val="hybridMultilevel"/>
    <w:tmpl w:val="923C9A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94222"/>
    <w:multiLevelType w:val="hybridMultilevel"/>
    <w:tmpl w:val="A53C58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5"/>
  </w:num>
  <w:num w:numId="5">
    <w:abstractNumId w:val="17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6"/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26"/>
    <w:rsid w:val="00006669"/>
    <w:rsid w:val="00027FA2"/>
    <w:rsid w:val="00040BE7"/>
    <w:rsid w:val="00053828"/>
    <w:rsid w:val="00073F00"/>
    <w:rsid w:val="000803CA"/>
    <w:rsid w:val="00090609"/>
    <w:rsid w:val="000E10BB"/>
    <w:rsid w:val="000F7A14"/>
    <w:rsid w:val="0011360B"/>
    <w:rsid w:val="00120261"/>
    <w:rsid w:val="00127FB2"/>
    <w:rsid w:val="0015312D"/>
    <w:rsid w:val="001763A6"/>
    <w:rsid w:val="001D1F26"/>
    <w:rsid w:val="001E16B3"/>
    <w:rsid w:val="001F4E4A"/>
    <w:rsid w:val="00213DAF"/>
    <w:rsid w:val="00260634"/>
    <w:rsid w:val="00283BB4"/>
    <w:rsid w:val="002C499B"/>
    <w:rsid w:val="00300C42"/>
    <w:rsid w:val="00333155"/>
    <w:rsid w:val="00383E00"/>
    <w:rsid w:val="003B1169"/>
    <w:rsid w:val="003B307B"/>
    <w:rsid w:val="003C139A"/>
    <w:rsid w:val="003C7753"/>
    <w:rsid w:val="003F7FCE"/>
    <w:rsid w:val="004009E7"/>
    <w:rsid w:val="004163B3"/>
    <w:rsid w:val="00450A75"/>
    <w:rsid w:val="00453C14"/>
    <w:rsid w:val="004B27D4"/>
    <w:rsid w:val="004C55BE"/>
    <w:rsid w:val="004E54B3"/>
    <w:rsid w:val="00503BE9"/>
    <w:rsid w:val="005232DB"/>
    <w:rsid w:val="00530982"/>
    <w:rsid w:val="00540299"/>
    <w:rsid w:val="00544E0E"/>
    <w:rsid w:val="00563655"/>
    <w:rsid w:val="00586C53"/>
    <w:rsid w:val="005C1A30"/>
    <w:rsid w:val="006113F2"/>
    <w:rsid w:val="00611874"/>
    <w:rsid w:val="0061377C"/>
    <w:rsid w:val="006354E4"/>
    <w:rsid w:val="0068622B"/>
    <w:rsid w:val="006A27BC"/>
    <w:rsid w:val="007062BA"/>
    <w:rsid w:val="00772FF9"/>
    <w:rsid w:val="0078243E"/>
    <w:rsid w:val="007B0CF2"/>
    <w:rsid w:val="007B0D76"/>
    <w:rsid w:val="007F6562"/>
    <w:rsid w:val="008245B5"/>
    <w:rsid w:val="00826231"/>
    <w:rsid w:val="008464FE"/>
    <w:rsid w:val="00886955"/>
    <w:rsid w:val="008F3C34"/>
    <w:rsid w:val="009057C2"/>
    <w:rsid w:val="0092441C"/>
    <w:rsid w:val="00937227"/>
    <w:rsid w:val="009A6E0B"/>
    <w:rsid w:val="009B2E77"/>
    <w:rsid w:val="009E664F"/>
    <w:rsid w:val="009F4539"/>
    <w:rsid w:val="00A27201"/>
    <w:rsid w:val="00A6766D"/>
    <w:rsid w:val="00AA7042"/>
    <w:rsid w:val="00AC5118"/>
    <w:rsid w:val="00AE2B43"/>
    <w:rsid w:val="00AE54CC"/>
    <w:rsid w:val="00B07825"/>
    <w:rsid w:val="00B12D95"/>
    <w:rsid w:val="00B41523"/>
    <w:rsid w:val="00B77EDC"/>
    <w:rsid w:val="00BA7E42"/>
    <w:rsid w:val="00BF1F5D"/>
    <w:rsid w:val="00BF6A81"/>
    <w:rsid w:val="00C1296B"/>
    <w:rsid w:val="00C177C5"/>
    <w:rsid w:val="00C32D94"/>
    <w:rsid w:val="00C334FE"/>
    <w:rsid w:val="00C93E1B"/>
    <w:rsid w:val="00CB7CD4"/>
    <w:rsid w:val="00CC2A6E"/>
    <w:rsid w:val="00CC30C5"/>
    <w:rsid w:val="00CC54C1"/>
    <w:rsid w:val="00D2212E"/>
    <w:rsid w:val="00D44D59"/>
    <w:rsid w:val="00D85E6D"/>
    <w:rsid w:val="00D97DAE"/>
    <w:rsid w:val="00DC3260"/>
    <w:rsid w:val="00DC4C11"/>
    <w:rsid w:val="00DF6B19"/>
    <w:rsid w:val="00E2388C"/>
    <w:rsid w:val="00E260DC"/>
    <w:rsid w:val="00E265B2"/>
    <w:rsid w:val="00E4574F"/>
    <w:rsid w:val="00EF4926"/>
    <w:rsid w:val="00EF66DA"/>
    <w:rsid w:val="00F217D7"/>
    <w:rsid w:val="00FB3E81"/>
    <w:rsid w:val="00FC6D58"/>
    <w:rsid w:val="00FC75EA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B63E29"/>
  <w15:docId w15:val="{68DB4A7F-A24F-4133-9275-09DA5DA5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F26"/>
  </w:style>
  <w:style w:type="paragraph" w:styleId="Piedepgina">
    <w:name w:val="footer"/>
    <w:basedOn w:val="Normal"/>
    <w:link w:val="PiedepginaCar"/>
    <w:uiPriority w:val="99"/>
    <w:unhideWhenUsed/>
    <w:rsid w:val="001D1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26"/>
  </w:style>
  <w:style w:type="paragraph" w:styleId="Prrafodelista">
    <w:name w:val="List Paragraph"/>
    <w:aliases w:val="VIÑETA,VIÑETAS,Párrafo de lista2,Viñetas,List Paragraph1,Betulia Título 1,Lista vistosa - Énfasis 13,Fluvial1,titulo 3,Párrafo de lista1,Lista vistosa - Énfasis 11,Ha,Resume Title,List Paragraph,Cita textual,Párrafo de tabla,Texto Tabla"/>
    <w:basedOn w:val="Normal"/>
    <w:link w:val="PrrafodelistaCar"/>
    <w:qFormat/>
    <w:rsid w:val="00FC75EA"/>
    <w:pPr>
      <w:ind w:left="720"/>
      <w:contextualSpacing/>
    </w:pPr>
  </w:style>
  <w:style w:type="paragraph" w:customStyle="1" w:styleId="Default">
    <w:name w:val="Default"/>
    <w:rsid w:val="00090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table" w:customStyle="1" w:styleId="Tabladelista4-nfasis51">
    <w:name w:val="Tabla de lista 4 - Énfasis 51"/>
    <w:basedOn w:val="Tablanormal"/>
    <w:uiPriority w:val="49"/>
    <w:rsid w:val="004E54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rrafodelistaCar">
    <w:name w:val="Párrafo de lista Car"/>
    <w:aliases w:val="VIÑETA Car,VIÑETAS Car,Párrafo de lista2 Car,Viñetas Car,List Paragraph1 Car,Betulia Título 1 Car,Lista vistosa - Énfasis 13 Car,Fluvial1 Car,titulo 3 Car,Párrafo de lista1 Car,Lista vistosa - Énfasis 11 Car,Ha Car,Resume Title Car"/>
    <w:link w:val="Prrafodelista"/>
    <w:rsid w:val="004E54B3"/>
  </w:style>
  <w:style w:type="paragraph" w:styleId="Sinespaciado">
    <w:name w:val="No Spacing"/>
    <w:link w:val="SinespaciadoCar"/>
    <w:uiPriority w:val="1"/>
    <w:qFormat/>
    <w:rsid w:val="00AE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2B4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425</dc:creator>
  <cp:keywords/>
  <dc:description/>
  <cp:lastModifiedBy>MARIA CAMILA FANDIÑO CHAVARRO</cp:lastModifiedBy>
  <cp:revision>3</cp:revision>
  <dcterms:created xsi:type="dcterms:W3CDTF">2021-05-31T21:45:00Z</dcterms:created>
  <dcterms:modified xsi:type="dcterms:W3CDTF">2021-05-31T21:59:00Z</dcterms:modified>
</cp:coreProperties>
</file>